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0CB" w:rsidRPr="003841A6" w:rsidRDefault="00C760CB" w:rsidP="00C760CB">
      <w:pPr>
        <w:spacing w:after="0" w:line="360" w:lineRule="auto"/>
        <w:jc w:val="both"/>
        <w:rPr>
          <w:rFonts w:ascii="Palatino Linotype" w:hAnsi="Palatino Linotype" w:cs="Arial"/>
          <w:b/>
          <w:sz w:val="24"/>
          <w:szCs w:val="24"/>
        </w:rPr>
      </w:pPr>
      <w:r w:rsidRPr="003841A6">
        <w:rPr>
          <w:rFonts w:ascii="Palatino Linotype" w:hAnsi="Palatino Linotype" w:cs="Arial"/>
          <w:b/>
          <w:sz w:val="24"/>
          <w:szCs w:val="24"/>
        </w:rPr>
        <w:t>VOTO PARTICULAR DEL COMISIONADO JO</w:t>
      </w:r>
      <w:r w:rsidR="003841A6" w:rsidRPr="003841A6">
        <w:rPr>
          <w:rFonts w:ascii="Palatino Linotype" w:hAnsi="Palatino Linotype" w:cs="Arial"/>
          <w:b/>
          <w:sz w:val="24"/>
          <w:szCs w:val="24"/>
        </w:rPr>
        <w:t xml:space="preserve">SÉ GUADALUPE LUNA HERNÁNDEZ EN </w:t>
      </w:r>
      <w:r w:rsidRPr="003841A6">
        <w:rPr>
          <w:rFonts w:ascii="Palatino Linotype" w:hAnsi="Palatino Linotype" w:cs="Arial"/>
          <w:b/>
          <w:sz w:val="24"/>
          <w:szCs w:val="24"/>
        </w:rPr>
        <w:t>L</w:t>
      </w:r>
      <w:r w:rsidR="003841A6" w:rsidRPr="003841A6">
        <w:rPr>
          <w:rFonts w:ascii="Palatino Linotype" w:hAnsi="Palatino Linotype" w:cs="Arial"/>
          <w:b/>
          <w:sz w:val="24"/>
          <w:szCs w:val="24"/>
        </w:rPr>
        <w:t>OS</w:t>
      </w:r>
      <w:r w:rsidRPr="003841A6">
        <w:rPr>
          <w:rFonts w:ascii="Palatino Linotype" w:hAnsi="Palatino Linotype" w:cs="Arial"/>
          <w:b/>
          <w:sz w:val="24"/>
          <w:szCs w:val="24"/>
        </w:rPr>
        <w:t xml:space="preserve"> RECURSO</w:t>
      </w:r>
      <w:r w:rsidR="003841A6" w:rsidRPr="003841A6">
        <w:rPr>
          <w:rFonts w:ascii="Palatino Linotype" w:hAnsi="Palatino Linotype" w:cs="Arial"/>
          <w:b/>
          <w:sz w:val="24"/>
          <w:szCs w:val="24"/>
        </w:rPr>
        <w:t>S</w:t>
      </w:r>
      <w:r w:rsidRPr="003841A6">
        <w:rPr>
          <w:rFonts w:ascii="Palatino Linotype" w:hAnsi="Palatino Linotype" w:cs="Arial"/>
          <w:b/>
          <w:sz w:val="24"/>
          <w:szCs w:val="24"/>
        </w:rPr>
        <w:t xml:space="preserve"> DE REVISIÓN </w:t>
      </w:r>
      <w:r w:rsidR="003841A6" w:rsidRPr="003841A6">
        <w:rPr>
          <w:rFonts w:ascii="Palatino Linotype" w:hAnsi="Palatino Linotype" w:cs="Arial"/>
          <w:b/>
          <w:bCs/>
          <w:sz w:val="24"/>
          <w:szCs w:val="24"/>
        </w:rPr>
        <w:t>02212/INFOEM/IP/RR/2018 y 02213/INFOEM/IP/RR/2018 ACUMULADOS</w:t>
      </w:r>
      <w:r w:rsidR="003841A6" w:rsidRPr="003841A6">
        <w:rPr>
          <w:rFonts w:ascii="Palatino Linotype" w:hAnsi="Palatino Linotype" w:cs="Arial"/>
          <w:b/>
          <w:sz w:val="24"/>
          <w:szCs w:val="24"/>
        </w:rPr>
        <w:t>.</w:t>
      </w:r>
    </w:p>
    <w:p w:rsidR="00EB179C" w:rsidRPr="008363D2" w:rsidRDefault="00EB179C" w:rsidP="00EB179C">
      <w:pPr>
        <w:spacing w:after="0" w:line="360" w:lineRule="auto"/>
        <w:jc w:val="both"/>
        <w:rPr>
          <w:rFonts w:ascii="Palatino Linotype" w:hAnsi="Palatino Linotype" w:cs="Arial"/>
          <w:sz w:val="24"/>
          <w:szCs w:val="24"/>
        </w:rPr>
      </w:pPr>
    </w:p>
    <w:p w:rsidR="00EB179C" w:rsidRPr="003841A6" w:rsidRDefault="00EB179C" w:rsidP="00EB179C">
      <w:pPr>
        <w:spacing w:after="0" w:line="360" w:lineRule="auto"/>
        <w:jc w:val="both"/>
        <w:rPr>
          <w:rFonts w:ascii="Palatino Linotype" w:hAnsi="Palatino Linotype" w:cs="Arial"/>
          <w:b/>
          <w:sz w:val="24"/>
          <w:szCs w:val="24"/>
        </w:rPr>
      </w:pPr>
      <w:r w:rsidRPr="003841A6">
        <w:rPr>
          <w:rFonts w:ascii="Palatino Linotype" w:hAnsi="Palatino Linotype" w:cs="Arial"/>
          <w:b/>
          <w:sz w:val="24"/>
          <w:szCs w:val="24"/>
        </w:rPr>
        <w:t>RESUMEN DEL VOTO:</w:t>
      </w:r>
    </w:p>
    <w:p w:rsidR="00EB179C" w:rsidRPr="003841A6" w:rsidRDefault="00EB179C" w:rsidP="00EB179C">
      <w:pPr>
        <w:spacing w:after="0" w:line="360" w:lineRule="auto"/>
        <w:jc w:val="both"/>
        <w:rPr>
          <w:rFonts w:ascii="Palatino Linotype" w:hAnsi="Palatino Linotype" w:cs="Arial"/>
          <w:sz w:val="24"/>
          <w:szCs w:val="24"/>
        </w:rPr>
      </w:pPr>
      <w:r w:rsidRPr="003841A6">
        <w:rPr>
          <w:rFonts w:ascii="Palatino Linotype" w:hAnsi="Palatino Linotype" w:cs="Arial"/>
          <w:sz w:val="24"/>
          <w:szCs w:val="24"/>
        </w:rPr>
        <w:t>Para invocar la causal de reserva</w:t>
      </w:r>
      <w:r>
        <w:rPr>
          <w:rFonts w:ascii="Palatino Linotype" w:hAnsi="Palatino Linotype" w:cs="Arial"/>
          <w:sz w:val="24"/>
          <w:szCs w:val="24"/>
        </w:rPr>
        <w:t>,</w:t>
      </w:r>
      <w:r w:rsidRPr="003841A6">
        <w:rPr>
          <w:rFonts w:ascii="Palatino Linotype" w:hAnsi="Palatino Linotype" w:cs="Arial"/>
          <w:sz w:val="24"/>
          <w:szCs w:val="24"/>
        </w:rPr>
        <w:t xml:space="preserve"> la información que se solicita debe vulnerar la conducción de los expedientes judiciales o de los procedimientos administrativos seguidos en forma de juicio, siempre y cuando se acrediten los supuesto establecidos en el Lineamientos Generales en Materia de Clasificación y Desclasificación de la Información así como para la elaboración de versiones públicas, de los que Instituto Nacional de Transparencia, Acceso a la Información y Protección de Datos Personales (INAI), se ha pronunciado al respecto.</w:t>
      </w:r>
    </w:p>
    <w:p w:rsidR="00EB179C" w:rsidRPr="008363D2" w:rsidRDefault="00EB179C" w:rsidP="00EB179C">
      <w:pPr>
        <w:spacing w:after="0" w:line="360" w:lineRule="auto"/>
        <w:jc w:val="both"/>
        <w:rPr>
          <w:rFonts w:ascii="Palatino Linotype" w:hAnsi="Palatino Linotype" w:cs="Arial"/>
          <w:i/>
          <w:sz w:val="24"/>
          <w:szCs w:val="24"/>
        </w:rPr>
      </w:pPr>
    </w:p>
    <w:p w:rsidR="00EB179C" w:rsidRPr="003841A6" w:rsidRDefault="00EB179C" w:rsidP="00EB179C">
      <w:pPr>
        <w:spacing w:after="0" w:line="360" w:lineRule="auto"/>
        <w:jc w:val="both"/>
        <w:rPr>
          <w:rFonts w:ascii="Palatino Linotype" w:hAnsi="Palatino Linotype" w:cs="Arial"/>
          <w:sz w:val="24"/>
          <w:szCs w:val="24"/>
        </w:rPr>
      </w:pPr>
      <w:r w:rsidRPr="003841A6">
        <w:rPr>
          <w:rFonts w:ascii="Palatino Linotype" w:hAnsi="Palatino Linotype" w:cs="Arial"/>
          <w:sz w:val="24"/>
          <w:szCs w:val="24"/>
        </w:rPr>
        <w:t xml:space="preserve">Las resoluciones y laudos, son </w:t>
      </w:r>
      <w:r w:rsidRPr="003841A6">
        <w:rPr>
          <w:rFonts w:ascii="Palatino Linotype" w:eastAsia="Times New Roman" w:hAnsi="Palatino Linotype" w:cs="Arial"/>
          <w:color w:val="222222"/>
          <w:sz w:val="24"/>
          <w:szCs w:val="24"/>
          <w:lang w:val="es-ES" w:eastAsia="es-MX"/>
        </w:rPr>
        <w:t>una obligación de transparencia común, las cuales deben los sujetos obligados poner a disposición del público de manera permanente y actualizada de forma sencilla, precisa y entendible, en los respectivos medios electrónicos, de acuerdo con sus facultades, atribuciones, funciones u objeto social, según corresponda, la información de conformidad con el artículo 92 fracción XL de la Ley de la materia</w:t>
      </w:r>
      <w:r w:rsidRPr="003841A6">
        <w:rPr>
          <w:rFonts w:ascii="Palatino Linotype" w:hAnsi="Palatino Linotype" w:cs="Arial"/>
          <w:sz w:val="24"/>
          <w:szCs w:val="24"/>
        </w:rPr>
        <w:t>.</w:t>
      </w:r>
    </w:p>
    <w:p w:rsidR="00C760CB" w:rsidRDefault="00C760CB" w:rsidP="00C760CB">
      <w:pPr>
        <w:spacing w:after="0" w:line="360" w:lineRule="auto"/>
        <w:jc w:val="both"/>
        <w:rPr>
          <w:rFonts w:ascii="Palatino Linotype" w:hAnsi="Palatino Linotype" w:cs="Arial"/>
          <w:i/>
          <w:sz w:val="24"/>
          <w:szCs w:val="24"/>
        </w:rPr>
      </w:pPr>
    </w:p>
    <w:p w:rsidR="003841A6" w:rsidRPr="008363D2" w:rsidRDefault="003841A6" w:rsidP="00C760CB">
      <w:pPr>
        <w:spacing w:after="0" w:line="360" w:lineRule="auto"/>
        <w:jc w:val="both"/>
        <w:rPr>
          <w:rFonts w:ascii="Palatino Linotype" w:hAnsi="Palatino Linotype" w:cs="Arial"/>
          <w:i/>
          <w:sz w:val="24"/>
          <w:szCs w:val="24"/>
        </w:rPr>
      </w:pPr>
    </w:p>
    <w:p w:rsidR="00C760CB" w:rsidRPr="008363D2" w:rsidRDefault="00C760CB" w:rsidP="00C760CB">
      <w:pPr>
        <w:spacing w:after="0" w:line="360" w:lineRule="auto"/>
        <w:jc w:val="both"/>
        <w:rPr>
          <w:rFonts w:ascii="Palatino Linotype" w:hAnsi="Palatino Linotype" w:cs="Arial"/>
          <w:sz w:val="24"/>
          <w:szCs w:val="24"/>
        </w:rPr>
      </w:pPr>
    </w:p>
    <w:p w:rsidR="00C760CB" w:rsidRPr="008363D2" w:rsidRDefault="003841A6" w:rsidP="003841A6">
      <w:pPr>
        <w:pStyle w:val="TtulodeTDC"/>
        <w:spacing w:line="480" w:lineRule="auto"/>
        <w:jc w:val="center"/>
        <w:rPr>
          <w:rFonts w:ascii="Palatino Linotype" w:hAnsi="Palatino Linotype" w:cs="Arial"/>
          <w:b/>
          <w:color w:val="000000" w:themeColor="text1"/>
          <w:sz w:val="24"/>
          <w:szCs w:val="24"/>
        </w:rPr>
      </w:pPr>
      <w:r w:rsidRPr="008363D2">
        <w:rPr>
          <w:rFonts w:ascii="Palatino Linotype" w:hAnsi="Palatino Linotype" w:cs="Arial"/>
          <w:b/>
          <w:color w:val="000000" w:themeColor="text1"/>
          <w:sz w:val="24"/>
          <w:szCs w:val="24"/>
        </w:rPr>
        <w:lastRenderedPageBreak/>
        <w:t>ÍNDI</w:t>
      </w:r>
      <w:r w:rsidRPr="00D621A5">
        <w:rPr>
          <w:rFonts w:ascii="Palatino Linotype" w:hAnsi="Palatino Linotype" w:cs="Arial"/>
          <w:color w:val="000000" w:themeColor="text1"/>
          <w:sz w:val="24"/>
          <w:szCs w:val="24"/>
        </w:rPr>
        <w:t>C</w:t>
      </w:r>
      <w:r w:rsidRPr="008363D2">
        <w:rPr>
          <w:rFonts w:ascii="Palatino Linotype" w:hAnsi="Palatino Linotype" w:cs="Arial"/>
          <w:b/>
          <w:color w:val="000000" w:themeColor="text1"/>
          <w:sz w:val="24"/>
          <w:szCs w:val="24"/>
        </w:rPr>
        <w:t>E</w:t>
      </w:r>
    </w:p>
    <w:sdt>
      <w:sdtPr>
        <w:rPr>
          <w:rFonts w:ascii="Palatino Linotype" w:hAnsi="Palatino Linotype"/>
          <w:sz w:val="24"/>
          <w:szCs w:val="24"/>
          <w:lang w:val="es-ES"/>
        </w:rPr>
        <w:id w:val="710156576"/>
        <w:docPartObj>
          <w:docPartGallery w:val="Table of Contents"/>
          <w:docPartUnique/>
        </w:docPartObj>
      </w:sdtPr>
      <w:sdtEndPr>
        <w:rPr>
          <w:b/>
          <w:bCs/>
        </w:rPr>
      </w:sdtEndPr>
      <w:sdtContent>
        <w:p w:rsidR="00C760CB" w:rsidRPr="003841A6" w:rsidRDefault="00C760CB" w:rsidP="003841A6">
          <w:pPr>
            <w:spacing w:after="0" w:line="480" w:lineRule="auto"/>
            <w:jc w:val="both"/>
            <w:rPr>
              <w:rFonts w:ascii="Palatino Linotype" w:hAnsi="Palatino Linotype"/>
              <w:sz w:val="24"/>
              <w:szCs w:val="24"/>
            </w:rPr>
          </w:pPr>
        </w:p>
        <w:p w:rsidR="00D621A5" w:rsidRDefault="00C760CB">
          <w:pPr>
            <w:pStyle w:val="TDC1"/>
            <w:tabs>
              <w:tab w:val="left" w:pos="440"/>
              <w:tab w:val="right" w:leader="dot" w:pos="8828"/>
            </w:tabs>
            <w:rPr>
              <w:rFonts w:eastAsiaTheme="minorEastAsia"/>
              <w:noProof/>
              <w:lang w:eastAsia="es-MX"/>
            </w:rPr>
          </w:pPr>
          <w:r w:rsidRPr="003841A6">
            <w:rPr>
              <w:rFonts w:ascii="Palatino Linotype" w:hAnsi="Palatino Linotype"/>
              <w:sz w:val="24"/>
              <w:szCs w:val="24"/>
            </w:rPr>
            <w:fldChar w:fldCharType="begin"/>
          </w:r>
          <w:r w:rsidRPr="003841A6">
            <w:rPr>
              <w:rFonts w:ascii="Palatino Linotype" w:hAnsi="Palatino Linotype"/>
              <w:sz w:val="24"/>
              <w:szCs w:val="24"/>
            </w:rPr>
            <w:instrText xml:space="preserve"> TOC \o "1-3" \h \z \u </w:instrText>
          </w:r>
          <w:r w:rsidRPr="003841A6">
            <w:rPr>
              <w:rFonts w:ascii="Palatino Linotype" w:hAnsi="Palatino Linotype"/>
              <w:sz w:val="24"/>
              <w:szCs w:val="24"/>
            </w:rPr>
            <w:fldChar w:fldCharType="separate"/>
          </w:r>
          <w:hyperlink w:anchor="_Toc522535797" w:history="1">
            <w:r w:rsidR="00D621A5" w:rsidRPr="001C53B9">
              <w:rPr>
                <w:rStyle w:val="Hipervnculo"/>
                <w:rFonts w:ascii="Palatino Linotype" w:hAnsi="Palatino Linotype"/>
                <w:b/>
                <w:noProof/>
              </w:rPr>
              <w:t>I.</w:t>
            </w:r>
            <w:r w:rsidR="00D621A5">
              <w:rPr>
                <w:rFonts w:eastAsiaTheme="minorEastAsia"/>
                <w:noProof/>
                <w:lang w:eastAsia="es-MX"/>
              </w:rPr>
              <w:tab/>
            </w:r>
            <w:r w:rsidR="00D621A5" w:rsidRPr="001C53B9">
              <w:rPr>
                <w:rStyle w:val="Hipervnculo"/>
                <w:rFonts w:ascii="Palatino Linotype" w:hAnsi="Palatino Linotype"/>
                <w:b/>
                <w:noProof/>
              </w:rPr>
              <w:t>Consideraciones Generales</w:t>
            </w:r>
            <w:r w:rsidR="00D621A5">
              <w:rPr>
                <w:noProof/>
                <w:webHidden/>
              </w:rPr>
              <w:tab/>
            </w:r>
            <w:r w:rsidR="00D621A5">
              <w:rPr>
                <w:noProof/>
                <w:webHidden/>
              </w:rPr>
              <w:fldChar w:fldCharType="begin"/>
            </w:r>
            <w:r w:rsidR="00D621A5">
              <w:rPr>
                <w:noProof/>
                <w:webHidden/>
              </w:rPr>
              <w:instrText xml:space="preserve"> PAGEREF _Toc522535797 \h </w:instrText>
            </w:r>
            <w:r w:rsidR="00D621A5">
              <w:rPr>
                <w:noProof/>
                <w:webHidden/>
              </w:rPr>
            </w:r>
            <w:r w:rsidR="00D621A5">
              <w:rPr>
                <w:noProof/>
                <w:webHidden/>
              </w:rPr>
              <w:fldChar w:fldCharType="separate"/>
            </w:r>
            <w:r w:rsidR="00D621A5">
              <w:rPr>
                <w:noProof/>
                <w:webHidden/>
              </w:rPr>
              <w:t>2</w:t>
            </w:r>
            <w:r w:rsidR="00D621A5">
              <w:rPr>
                <w:noProof/>
                <w:webHidden/>
              </w:rPr>
              <w:fldChar w:fldCharType="end"/>
            </w:r>
          </w:hyperlink>
        </w:p>
        <w:p w:rsidR="00D621A5" w:rsidRDefault="0065206F">
          <w:pPr>
            <w:pStyle w:val="TDC1"/>
            <w:tabs>
              <w:tab w:val="left" w:pos="660"/>
              <w:tab w:val="right" w:leader="dot" w:pos="8828"/>
            </w:tabs>
            <w:rPr>
              <w:rFonts w:eastAsiaTheme="minorEastAsia"/>
              <w:noProof/>
              <w:lang w:eastAsia="es-MX"/>
            </w:rPr>
          </w:pPr>
          <w:hyperlink w:anchor="_Toc522535798" w:history="1">
            <w:r w:rsidR="00D621A5" w:rsidRPr="001C53B9">
              <w:rPr>
                <w:rStyle w:val="Hipervnculo"/>
                <w:rFonts w:ascii="Palatino Linotype" w:hAnsi="Palatino Linotype"/>
                <w:b/>
                <w:noProof/>
              </w:rPr>
              <w:t>II.</w:t>
            </w:r>
            <w:r w:rsidR="00D621A5">
              <w:rPr>
                <w:rFonts w:eastAsiaTheme="minorEastAsia"/>
                <w:noProof/>
                <w:lang w:eastAsia="es-MX"/>
              </w:rPr>
              <w:tab/>
            </w:r>
            <w:r w:rsidR="00D621A5" w:rsidRPr="001C53B9">
              <w:rPr>
                <w:rStyle w:val="Hipervnculo"/>
                <w:rFonts w:ascii="Palatino Linotype" w:hAnsi="Palatino Linotype"/>
                <w:b/>
                <w:noProof/>
              </w:rPr>
              <w:t>De los requerimientos planteados en el recurso de revisión.</w:t>
            </w:r>
            <w:r w:rsidR="00D621A5">
              <w:rPr>
                <w:noProof/>
                <w:webHidden/>
              </w:rPr>
              <w:tab/>
            </w:r>
            <w:r w:rsidR="00D621A5">
              <w:rPr>
                <w:noProof/>
                <w:webHidden/>
              </w:rPr>
              <w:fldChar w:fldCharType="begin"/>
            </w:r>
            <w:r w:rsidR="00D621A5">
              <w:rPr>
                <w:noProof/>
                <w:webHidden/>
              </w:rPr>
              <w:instrText xml:space="preserve"> PAGEREF _Toc522535798 \h </w:instrText>
            </w:r>
            <w:r w:rsidR="00D621A5">
              <w:rPr>
                <w:noProof/>
                <w:webHidden/>
              </w:rPr>
            </w:r>
            <w:r w:rsidR="00D621A5">
              <w:rPr>
                <w:noProof/>
                <w:webHidden/>
              </w:rPr>
              <w:fldChar w:fldCharType="separate"/>
            </w:r>
            <w:r w:rsidR="00D621A5">
              <w:rPr>
                <w:noProof/>
                <w:webHidden/>
              </w:rPr>
              <w:t>4</w:t>
            </w:r>
            <w:r w:rsidR="00D621A5">
              <w:rPr>
                <w:noProof/>
                <w:webHidden/>
              </w:rPr>
              <w:fldChar w:fldCharType="end"/>
            </w:r>
          </w:hyperlink>
        </w:p>
        <w:p w:rsidR="00D621A5" w:rsidRDefault="0065206F">
          <w:pPr>
            <w:pStyle w:val="TDC1"/>
            <w:tabs>
              <w:tab w:val="left" w:pos="660"/>
              <w:tab w:val="right" w:leader="dot" w:pos="8828"/>
            </w:tabs>
            <w:rPr>
              <w:rFonts w:eastAsiaTheme="minorEastAsia"/>
              <w:noProof/>
              <w:lang w:eastAsia="es-MX"/>
            </w:rPr>
          </w:pPr>
          <w:hyperlink w:anchor="_Toc522535799" w:history="1">
            <w:r w:rsidR="00D621A5" w:rsidRPr="001C53B9">
              <w:rPr>
                <w:rStyle w:val="Hipervnculo"/>
                <w:rFonts w:ascii="Palatino Linotype" w:hAnsi="Palatino Linotype"/>
                <w:b/>
                <w:noProof/>
              </w:rPr>
              <w:t>III.</w:t>
            </w:r>
            <w:r w:rsidR="00D621A5">
              <w:rPr>
                <w:rFonts w:eastAsiaTheme="minorEastAsia"/>
                <w:noProof/>
                <w:lang w:eastAsia="es-MX"/>
              </w:rPr>
              <w:tab/>
            </w:r>
            <w:r w:rsidR="00D621A5" w:rsidRPr="001C53B9">
              <w:rPr>
                <w:rStyle w:val="Hipervnculo"/>
                <w:rFonts w:ascii="Palatino Linotype" w:hAnsi="Palatino Linotype"/>
                <w:b/>
                <w:noProof/>
              </w:rPr>
              <w:t>De la reserva de información.</w:t>
            </w:r>
            <w:r w:rsidR="00D621A5">
              <w:rPr>
                <w:noProof/>
                <w:webHidden/>
              </w:rPr>
              <w:tab/>
            </w:r>
            <w:r w:rsidR="00D621A5">
              <w:rPr>
                <w:noProof/>
                <w:webHidden/>
              </w:rPr>
              <w:fldChar w:fldCharType="begin"/>
            </w:r>
            <w:r w:rsidR="00D621A5">
              <w:rPr>
                <w:noProof/>
                <w:webHidden/>
              </w:rPr>
              <w:instrText xml:space="preserve"> PAGEREF _Toc522535799 \h </w:instrText>
            </w:r>
            <w:r w:rsidR="00D621A5">
              <w:rPr>
                <w:noProof/>
                <w:webHidden/>
              </w:rPr>
            </w:r>
            <w:r w:rsidR="00D621A5">
              <w:rPr>
                <w:noProof/>
                <w:webHidden/>
              </w:rPr>
              <w:fldChar w:fldCharType="separate"/>
            </w:r>
            <w:r w:rsidR="00D621A5">
              <w:rPr>
                <w:noProof/>
                <w:webHidden/>
              </w:rPr>
              <w:t>5</w:t>
            </w:r>
            <w:r w:rsidR="00D621A5">
              <w:rPr>
                <w:noProof/>
                <w:webHidden/>
              </w:rPr>
              <w:fldChar w:fldCharType="end"/>
            </w:r>
          </w:hyperlink>
        </w:p>
        <w:p w:rsidR="003841A6" w:rsidRPr="00D621A5" w:rsidRDefault="00C760CB" w:rsidP="00D621A5">
          <w:pPr>
            <w:spacing w:line="480" w:lineRule="auto"/>
            <w:rPr>
              <w:rFonts w:ascii="Palatino Linotype" w:hAnsi="Palatino Linotype"/>
              <w:sz w:val="24"/>
              <w:szCs w:val="24"/>
            </w:rPr>
          </w:pPr>
          <w:r w:rsidRPr="003841A6">
            <w:rPr>
              <w:rFonts w:ascii="Palatino Linotype" w:hAnsi="Palatino Linotype"/>
              <w:b/>
              <w:bCs/>
              <w:sz w:val="24"/>
              <w:szCs w:val="24"/>
              <w:lang w:val="es-ES"/>
            </w:rPr>
            <w:fldChar w:fldCharType="end"/>
          </w:r>
        </w:p>
      </w:sdtContent>
    </w:sdt>
    <w:p w:rsidR="00C760CB" w:rsidRPr="008363D2" w:rsidRDefault="00C760CB" w:rsidP="00C760CB">
      <w:pPr>
        <w:spacing w:after="0" w:line="360" w:lineRule="auto"/>
        <w:jc w:val="both"/>
        <w:rPr>
          <w:rFonts w:ascii="Palatino Linotype" w:hAnsi="Palatino Linotype" w:cs="Arial"/>
          <w:b/>
          <w:sz w:val="24"/>
          <w:szCs w:val="24"/>
        </w:rPr>
      </w:pPr>
    </w:p>
    <w:p w:rsidR="00C760CB" w:rsidRPr="008363D2" w:rsidRDefault="00C760CB" w:rsidP="00C760CB">
      <w:pPr>
        <w:pStyle w:val="Ttulo1"/>
        <w:numPr>
          <w:ilvl w:val="0"/>
          <w:numId w:val="12"/>
        </w:numPr>
        <w:rPr>
          <w:rFonts w:ascii="Palatino Linotype" w:hAnsi="Palatino Linotype"/>
          <w:b/>
          <w:color w:val="000000" w:themeColor="text1"/>
          <w:sz w:val="24"/>
          <w:szCs w:val="24"/>
        </w:rPr>
      </w:pPr>
      <w:bookmarkStart w:id="0" w:name="_Toc522535797"/>
      <w:r w:rsidRPr="008363D2">
        <w:rPr>
          <w:rFonts w:ascii="Palatino Linotype" w:hAnsi="Palatino Linotype"/>
          <w:b/>
          <w:color w:val="000000" w:themeColor="text1"/>
          <w:sz w:val="24"/>
          <w:szCs w:val="24"/>
        </w:rPr>
        <w:t>Consideraciones Generales</w:t>
      </w:r>
      <w:bookmarkEnd w:id="0"/>
    </w:p>
    <w:p w:rsidR="00C760CB" w:rsidRPr="008363D2" w:rsidRDefault="00C760CB" w:rsidP="00C760CB">
      <w:pPr>
        <w:rPr>
          <w:rFonts w:ascii="Palatino Linotype" w:hAnsi="Palatino Linotype"/>
          <w:b/>
          <w:sz w:val="24"/>
          <w:szCs w:val="24"/>
        </w:rPr>
      </w:pPr>
    </w:p>
    <w:p w:rsidR="00C760CB" w:rsidRPr="008363D2" w:rsidRDefault="00C760CB" w:rsidP="004C1454">
      <w:pPr>
        <w:pStyle w:val="Prrafodelista"/>
        <w:numPr>
          <w:ilvl w:val="0"/>
          <w:numId w:val="8"/>
        </w:numPr>
        <w:spacing w:after="0" w:line="360" w:lineRule="auto"/>
        <w:jc w:val="both"/>
        <w:rPr>
          <w:rFonts w:ascii="Palatino Linotype" w:hAnsi="Palatino Linotype" w:cs="Arial"/>
          <w:sz w:val="24"/>
          <w:szCs w:val="24"/>
        </w:rPr>
      </w:pPr>
      <w:r w:rsidRPr="008363D2">
        <w:rPr>
          <w:rFonts w:ascii="Palatino Linotype" w:eastAsia="Times New Roman" w:hAnsi="Palatino Linotype" w:cs="Arial"/>
          <w:sz w:val="24"/>
          <w:szCs w:val="24"/>
        </w:rPr>
        <w:t xml:space="preserve">He concurrido con mi </w:t>
      </w:r>
      <w:r w:rsidRPr="00916F24">
        <w:rPr>
          <w:rFonts w:ascii="Palatino Linotype" w:eastAsia="Times New Roman" w:hAnsi="Palatino Linotype" w:cs="Arial"/>
          <w:b/>
          <w:sz w:val="24"/>
          <w:szCs w:val="24"/>
        </w:rPr>
        <w:t>voto particular</w:t>
      </w:r>
      <w:r w:rsidRPr="008363D2">
        <w:rPr>
          <w:rFonts w:ascii="Palatino Linotype" w:eastAsia="Times New Roman" w:hAnsi="Palatino Linotype" w:cs="Arial"/>
          <w:sz w:val="24"/>
          <w:szCs w:val="24"/>
        </w:rPr>
        <w:t xml:space="preserve"> de la presente resolución emitida </w:t>
      </w:r>
      <w:r w:rsidRPr="008363D2">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D621A5">
        <w:rPr>
          <w:rFonts w:ascii="Palatino Linotype" w:hAnsi="Palatino Linotype" w:cs="Arial"/>
          <w:sz w:val="24"/>
          <w:szCs w:val="24"/>
        </w:rPr>
        <w:t>vigésima novena</w:t>
      </w:r>
      <w:r w:rsidR="004C1454">
        <w:rPr>
          <w:rFonts w:ascii="Palatino Linotype" w:hAnsi="Palatino Linotype" w:cs="Arial"/>
          <w:sz w:val="24"/>
          <w:szCs w:val="24"/>
        </w:rPr>
        <w:t xml:space="preserve"> sesión ordinaria</w:t>
      </w:r>
      <w:r w:rsidRPr="008363D2">
        <w:rPr>
          <w:rFonts w:ascii="Palatino Linotype" w:hAnsi="Palatino Linotype" w:cs="Arial"/>
          <w:sz w:val="24"/>
          <w:szCs w:val="24"/>
        </w:rPr>
        <w:t xml:space="preserve"> de fecha </w:t>
      </w:r>
      <w:r w:rsidR="00D621A5">
        <w:rPr>
          <w:rFonts w:ascii="Palatino Linotype" w:hAnsi="Palatino Linotype" w:cs="Arial"/>
          <w:sz w:val="24"/>
          <w:szCs w:val="24"/>
        </w:rPr>
        <w:t>quince</w:t>
      </w:r>
      <w:r w:rsidRPr="008363D2">
        <w:rPr>
          <w:rFonts w:ascii="Palatino Linotype" w:hAnsi="Palatino Linotype" w:cs="Arial"/>
          <w:sz w:val="24"/>
          <w:szCs w:val="24"/>
        </w:rPr>
        <w:t xml:space="preserve"> (</w:t>
      </w:r>
      <w:r w:rsidR="00D621A5">
        <w:rPr>
          <w:rFonts w:ascii="Palatino Linotype" w:hAnsi="Palatino Linotype" w:cs="Arial"/>
          <w:sz w:val="24"/>
          <w:szCs w:val="24"/>
        </w:rPr>
        <w:t>15</w:t>
      </w:r>
      <w:r>
        <w:rPr>
          <w:rFonts w:ascii="Palatino Linotype" w:hAnsi="Palatino Linotype" w:cs="Arial"/>
          <w:sz w:val="24"/>
          <w:szCs w:val="24"/>
        </w:rPr>
        <w:t>) de a</w:t>
      </w:r>
      <w:r w:rsidR="003841A6">
        <w:rPr>
          <w:rFonts w:ascii="Palatino Linotype" w:hAnsi="Palatino Linotype" w:cs="Arial"/>
          <w:sz w:val="24"/>
          <w:szCs w:val="24"/>
        </w:rPr>
        <w:t>gosto</w:t>
      </w:r>
      <w:r w:rsidRPr="008363D2">
        <w:rPr>
          <w:rFonts w:ascii="Palatino Linotype" w:hAnsi="Palatino Linotype" w:cs="Arial"/>
          <w:sz w:val="24"/>
          <w:szCs w:val="24"/>
        </w:rPr>
        <w:t xml:space="preserve"> de dos mil </w:t>
      </w:r>
      <w:r w:rsidR="00D621A5">
        <w:rPr>
          <w:rFonts w:ascii="Palatino Linotype" w:hAnsi="Palatino Linotype" w:cs="Arial"/>
          <w:sz w:val="24"/>
          <w:szCs w:val="24"/>
        </w:rPr>
        <w:t>dieciocho</w:t>
      </w:r>
      <w:r w:rsidR="004C1454">
        <w:rPr>
          <w:rFonts w:ascii="Palatino Linotype" w:hAnsi="Palatino Linotype" w:cs="Arial"/>
          <w:sz w:val="24"/>
          <w:szCs w:val="24"/>
        </w:rPr>
        <w:t xml:space="preserve">, en </w:t>
      </w:r>
      <w:r w:rsidRPr="008363D2">
        <w:rPr>
          <w:rFonts w:ascii="Palatino Linotype" w:hAnsi="Palatino Linotype" w:cs="Arial"/>
          <w:sz w:val="24"/>
          <w:szCs w:val="24"/>
        </w:rPr>
        <w:t>l</w:t>
      </w:r>
      <w:r w:rsidR="004C1454">
        <w:rPr>
          <w:rFonts w:ascii="Palatino Linotype" w:hAnsi="Palatino Linotype" w:cs="Arial"/>
          <w:sz w:val="24"/>
          <w:szCs w:val="24"/>
        </w:rPr>
        <w:t>os</w:t>
      </w:r>
      <w:r w:rsidRPr="008363D2">
        <w:rPr>
          <w:rFonts w:ascii="Palatino Linotype" w:hAnsi="Palatino Linotype" w:cs="Arial"/>
          <w:sz w:val="24"/>
          <w:szCs w:val="24"/>
        </w:rPr>
        <w:t xml:space="preserve"> recurso</w:t>
      </w:r>
      <w:r w:rsidR="004C1454">
        <w:rPr>
          <w:rFonts w:ascii="Palatino Linotype" w:hAnsi="Palatino Linotype" w:cs="Arial"/>
          <w:sz w:val="24"/>
          <w:szCs w:val="24"/>
        </w:rPr>
        <w:t>s</w:t>
      </w:r>
      <w:r w:rsidRPr="008363D2">
        <w:rPr>
          <w:rFonts w:ascii="Palatino Linotype" w:hAnsi="Palatino Linotype" w:cs="Arial"/>
          <w:sz w:val="24"/>
          <w:szCs w:val="24"/>
        </w:rPr>
        <w:t xml:space="preserve"> de revisión promovido</w:t>
      </w:r>
      <w:r w:rsidR="004C1454">
        <w:rPr>
          <w:rFonts w:ascii="Palatino Linotype" w:hAnsi="Palatino Linotype" w:cs="Arial"/>
          <w:sz w:val="24"/>
          <w:szCs w:val="24"/>
        </w:rPr>
        <w:t>s</w:t>
      </w:r>
      <w:r w:rsidRPr="008363D2">
        <w:rPr>
          <w:rFonts w:ascii="Palatino Linotype" w:hAnsi="Palatino Linotype" w:cs="Arial"/>
          <w:sz w:val="24"/>
          <w:szCs w:val="24"/>
        </w:rPr>
        <w:t xml:space="preserve"> por </w:t>
      </w:r>
      <w:proofErr w:type="spellStart"/>
      <w:r w:rsidR="008224D9">
        <w:rPr>
          <w:rFonts w:ascii="Palatino Linotype" w:hAnsi="Palatino Linotype" w:cs="Arial"/>
          <w:b/>
          <w:sz w:val="24"/>
          <w:szCs w:val="24"/>
        </w:rPr>
        <w:t>xxxxxxxxxxxxxxxxxxxx</w:t>
      </w:r>
      <w:proofErr w:type="spellEnd"/>
      <w:r w:rsidRPr="008363D2">
        <w:rPr>
          <w:rFonts w:ascii="Palatino Linotype" w:hAnsi="Palatino Linotype" w:cs="Arial"/>
          <w:sz w:val="24"/>
          <w:szCs w:val="24"/>
        </w:rPr>
        <w:t xml:space="preserve"> en contra de la respuesta de la</w:t>
      </w:r>
      <w:r w:rsidRPr="008363D2">
        <w:rPr>
          <w:rFonts w:ascii="Palatino Linotype" w:hAnsi="Palatino Linotype"/>
          <w:sz w:val="24"/>
          <w:szCs w:val="24"/>
        </w:rPr>
        <w:t xml:space="preserve"> </w:t>
      </w:r>
      <w:r w:rsidR="00214DD9">
        <w:rPr>
          <w:rFonts w:ascii="Palatino Linotype" w:hAnsi="Palatino Linotype" w:cs="Arial"/>
          <w:b/>
          <w:sz w:val="24"/>
          <w:szCs w:val="24"/>
        </w:rPr>
        <w:t xml:space="preserve">Ayuntamiento de Naucalpan </w:t>
      </w:r>
      <w:r w:rsidR="004C1454">
        <w:rPr>
          <w:rFonts w:ascii="Palatino Linotype" w:hAnsi="Palatino Linotype" w:cs="Arial"/>
          <w:b/>
          <w:sz w:val="24"/>
          <w:szCs w:val="24"/>
        </w:rPr>
        <w:t>de Juárez</w:t>
      </w:r>
      <w:r w:rsidRPr="008363D2">
        <w:rPr>
          <w:rFonts w:ascii="Palatino Linotype" w:hAnsi="Palatino Linotype" w:cs="Arial"/>
          <w:sz w:val="24"/>
          <w:szCs w:val="24"/>
        </w:rPr>
        <w:t>, procedimiento al que se le</w:t>
      </w:r>
      <w:r w:rsidR="004C1454">
        <w:rPr>
          <w:rFonts w:ascii="Palatino Linotype" w:hAnsi="Palatino Linotype" w:cs="Arial"/>
          <w:sz w:val="24"/>
          <w:szCs w:val="24"/>
        </w:rPr>
        <w:t xml:space="preserve">s asignó </w:t>
      </w:r>
      <w:r w:rsidRPr="008363D2">
        <w:rPr>
          <w:rFonts w:ascii="Palatino Linotype" w:hAnsi="Palatino Linotype" w:cs="Arial"/>
          <w:sz w:val="24"/>
          <w:szCs w:val="24"/>
        </w:rPr>
        <w:t>l</w:t>
      </w:r>
      <w:r w:rsidR="004C1454">
        <w:rPr>
          <w:rFonts w:ascii="Palatino Linotype" w:hAnsi="Palatino Linotype" w:cs="Arial"/>
          <w:sz w:val="24"/>
          <w:szCs w:val="24"/>
        </w:rPr>
        <w:t>os</w:t>
      </w:r>
      <w:r w:rsidRPr="008363D2">
        <w:rPr>
          <w:rFonts w:ascii="Palatino Linotype" w:hAnsi="Palatino Linotype" w:cs="Arial"/>
          <w:sz w:val="24"/>
          <w:szCs w:val="24"/>
        </w:rPr>
        <w:t xml:space="preserve"> número</w:t>
      </w:r>
      <w:r w:rsidR="004C1454">
        <w:rPr>
          <w:rFonts w:ascii="Palatino Linotype" w:hAnsi="Palatino Linotype" w:cs="Arial"/>
          <w:sz w:val="24"/>
          <w:szCs w:val="24"/>
        </w:rPr>
        <w:t>s</w:t>
      </w:r>
      <w:r w:rsidRPr="008363D2">
        <w:rPr>
          <w:rFonts w:ascii="Palatino Linotype" w:hAnsi="Palatino Linotype" w:cs="Arial"/>
          <w:sz w:val="24"/>
          <w:szCs w:val="24"/>
        </w:rPr>
        <w:t xml:space="preserve"> de expediente</w:t>
      </w:r>
      <w:r w:rsidR="004C1454">
        <w:rPr>
          <w:rFonts w:ascii="Palatino Linotype" w:hAnsi="Palatino Linotype" w:cs="Arial"/>
          <w:sz w:val="24"/>
          <w:szCs w:val="24"/>
        </w:rPr>
        <w:t>s</w:t>
      </w:r>
      <w:r w:rsidRPr="008363D2">
        <w:rPr>
          <w:rFonts w:ascii="Palatino Linotype" w:hAnsi="Palatino Linotype" w:cs="Arial"/>
          <w:sz w:val="24"/>
          <w:szCs w:val="24"/>
        </w:rPr>
        <w:t xml:space="preserve"> </w:t>
      </w:r>
      <w:r w:rsidR="004C1454" w:rsidRPr="004C1454">
        <w:rPr>
          <w:rFonts w:ascii="Palatino Linotype" w:hAnsi="Palatino Linotype" w:cs="Arial"/>
          <w:b/>
          <w:bCs/>
          <w:sz w:val="24"/>
          <w:szCs w:val="24"/>
        </w:rPr>
        <w:t xml:space="preserve">02212/INFOEM/IP/RR/2018 </w:t>
      </w:r>
      <w:r w:rsidR="004C1454" w:rsidRPr="004C1454">
        <w:rPr>
          <w:rFonts w:ascii="Palatino Linotype" w:hAnsi="Palatino Linotype" w:cs="Arial"/>
          <w:bCs/>
          <w:sz w:val="24"/>
          <w:szCs w:val="24"/>
        </w:rPr>
        <w:t xml:space="preserve">y </w:t>
      </w:r>
      <w:r w:rsidR="004C1454" w:rsidRPr="004C1454">
        <w:rPr>
          <w:rFonts w:ascii="Palatino Linotype" w:hAnsi="Palatino Linotype" w:cs="Arial"/>
          <w:b/>
          <w:bCs/>
          <w:sz w:val="24"/>
          <w:szCs w:val="24"/>
        </w:rPr>
        <w:t>02213/INFOEM/IP/RR/2018</w:t>
      </w:r>
      <w:r w:rsidR="004C1454">
        <w:rPr>
          <w:rFonts w:ascii="Palatino Linotype" w:hAnsi="Palatino Linotype" w:cs="Arial"/>
          <w:b/>
          <w:bCs/>
          <w:sz w:val="24"/>
          <w:szCs w:val="24"/>
        </w:rPr>
        <w:t xml:space="preserve"> </w:t>
      </w:r>
      <w:r w:rsidR="004C1454" w:rsidRPr="004C1454">
        <w:rPr>
          <w:rFonts w:ascii="Palatino Linotype" w:hAnsi="Palatino Linotype" w:cs="Arial"/>
          <w:bCs/>
          <w:sz w:val="24"/>
          <w:szCs w:val="24"/>
        </w:rPr>
        <w:t>acumulados</w:t>
      </w:r>
      <w:r w:rsidRPr="008363D2">
        <w:rPr>
          <w:rFonts w:ascii="Palatino Linotype" w:hAnsi="Palatino Linotype" w:cs="Arial"/>
          <w:b/>
          <w:sz w:val="24"/>
          <w:szCs w:val="24"/>
        </w:rPr>
        <w:t>.</w:t>
      </w:r>
      <w:r w:rsidRPr="008363D2">
        <w:rPr>
          <w:rFonts w:ascii="Palatino Linotype" w:hAnsi="Palatino Linotype" w:cs="Arial"/>
          <w:sz w:val="24"/>
          <w:szCs w:val="24"/>
        </w:rPr>
        <w:t xml:space="preserve"> </w:t>
      </w:r>
    </w:p>
    <w:p w:rsidR="00C760CB" w:rsidRPr="008363D2" w:rsidRDefault="00C760CB" w:rsidP="00C760CB">
      <w:pPr>
        <w:pStyle w:val="Prrafodelista"/>
        <w:spacing w:line="360" w:lineRule="auto"/>
        <w:ind w:left="426"/>
        <w:jc w:val="both"/>
        <w:rPr>
          <w:rFonts w:ascii="Palatino Linotype" w:hAnsi="Palatino Linotype" w:cs="Arial"/>
          <w:sz w:val="24"/>
          <w:szCs w:val="24"/>
        </w:rPr>
      </w:pPr>
    </w:p>
    <w:p w:rsidR="00C760CB" w:rsidRPr="004972D8" w:rsidRDefault="00C760CB" w:rsidP="00C760CB">
      <w:pPr>
        <w:pStyle w:val="Prrafodelista"/>
        <w:numPr>
          <w:ilvl w:val="0"/>
          <w:numId w:val="8"/>
        </w:numPr>
        <w:spacing w:line="360" w:lineRule="auto"/>
        <w:jc w:val="both"/>
        <w:rPr>
          <w:rFonts w:ascii="Palatino Linotype" w:hAnsi="Palatino Linotype" w:cs="Arial"/>
          <w:sz w:val="24"/>
          <w:szCs w:val="24"/>
        </w:rPr>
      </w:pPr>
      <w:r w:rsidRPr="004972D8">
        <w:rPr>
          <w:rFonts w:ascii="Palatino Linotype" w:hAnsi="Palatino Linotype" w:cs="Arial"/>
          <w:sz w:val="24"/>
          <w:szCs w:val="24"/>
        </w:rPr>
        <w:t xml:space="preserve">La </w:t>
      </w:r>
      <w:r w:rsidRPr="00624E22">
        <w:rPr>
          <w:rFonts w:ascii="Palatino Linotype" w:hAnsi="Palatino Linotype" w:cs="Arial"/>
          <w:sz w:val="24"/>
          <w:szCs w:val="24"/>
        </w:rPr>
        <w:t>resolución determina</w:t>
      </w:r>
      <w:r w:rsidR="004C1454" w:rsidRPr="00624E22">
        <w:rPr>
          <w:rFonts w:ascii="Palatino Linotype" w:hAnsi="Palatino Linotype" w:cs="Arial"/>
          <w:sz w:val="24"/>
          <w:szCs w:val="24"/>
        </w:rPr>
        <w:t xml:space="preserve"> el modifica</w:t>
      </w:r>
      <w:r w:rsidRPr="00624E22">
        <w:rPr>
          <w:rFonts w:ascii="Palatino Linotype" w:hAnsi="Palatino Linotype" w:cs="Arial"/>
          <w:sz w:val="24"/>
          <w:szCs w:val="24"/>
        </w:rPr>
        <w:t xml:space="preserve">r  la respuesta del </w:t>
      </w:r>
      <w:r w:rsidR="004C1454" w:rsidRPr="00624E22">
        <w:rPr>
          <w:rFonts w:ascii="Palatino Linotype" w:hAnsi="Palatino Linotype" w:cs="Arial"/>
          <w:sz w:val="24"/>
          <w:szCs w:val="24"/>
        </w:rPr>
        <w:t>sujeto obligado</w:t>
      </w:r>
      <w:r w:rsidRPr="00624E22">
        <w:rPr>
          <w:rFonts w:ascii="Palatino Linotype" w:hAnsi="Palatino Linotype" w:cs="Arial"/>
          <w:sz w:val="24"/>
          <w:szCs w:val="24"/>
        </w:rPr>
        <w:t xml:space="preserve"> en virtud </w:t>
      </w:r>
      <w:r w:rsidR="004C1454" w:rsidRPr="00624E22">
        <w:rPr>
          <w:rFonts w:ascii="Palatino Linotype" w:hAnsi="Palatino Linotype" w:cs="Arial"/>
          <w:sz w:val="24"/>
          <w:szCs w:val="24"/>
        </w:rPr>
        <w:t xml:space="preserve">que la ponencia </w:t>
      </w:r>
      <w:proofErr w:type="spellStart"/>
      <w:r w:rsidR="004C1454" w:rsidRPr="00624E22">
        <w:rPr>
          <w:rFonts w:ascii="Palatino Linotype" w:hAnsi="Palatino Linotype" w:cs="Arial"/>
          <w:sz w:val="24"/>
          <w:szCs w:val="24"/>
        </w:rPr>
        <w:t>resolutora</w:t>
      </w:r>
      <w:proofErr w:type="spellEnd"/>
      <w:r w:rsidR="004C1454" w:rsidRPr="00624E22">
        <w:rPr>
          <w:rFonts w:ascii="Palatino Linotype" w:hAnsi="Palatino Linotype" w:cs="Arial"/>
          <w:sz w:val="24"/>
          <w:szCs w:val="24"/>
        </w:rPr>
        <w:t xml:space="preserve">, arribo a la conclusión de que las respuestas otorgadas por parte del sujeto obligado, no satisfacen del todo el derecho de acceso a la </w:t>
      </w:r>
      <w:r w:rsidR="004C1454" w:rsidRPr="00624E22">
        <w:rPr>
          <w:rFonts w:ascii="Palatino Linotype" w:hAnsi="Palatino Linotype" w:cs="Arial"/>
          <w:sz w:val="24"/>
          <w:szCs w:val="24"/>
        </w:rPr>
        <w:lastRenderedPageBreak/>
        <w:t>información ejercido por el recurrente</w:t>
      </w:r>
      <w:r w:rsidR="004C1454" w:rsidRPr="00624E22">
        <w:rPr>
          <w:rFonts w:ascii="Palatino Linotype" w:hAnsi="Palatino Linotype" w:cs="Arial"/>
          <w:b/>
          <w:sz w:val="24"/>
          <w:szCs w:val="24"/>
        </w:rPr>
        <w:t xml:space="preserve"> </w:t>
      </w:r>
      <w:r w:rsidR="004C1454" w:rsidRPr="00624E22">
        <w:rPr>
          <w:rFonts w:ascii="Palatino Linotype" w:hAnsi="Palatino Linotype" w:cs="Arial"/>
          <w:sz w:val="24"/>
          <w:szCs w:val="24"/>
        </w:rPr>
        <w:t>en razón de que las mismas fueron incompletas, motivos por los cuales, los recursos de revisión objeto de estudio resultaron procedentes, en términos de la hipótesis prevista en la fracción V, del artículo 179 de la ley de la materia</w:t>
      </w:r>
      <w:r w:rsidR="00624E22" w:rsidRPr="00624E22">
        <w:rPr>
          <w:rFonts w:ascii="Palatino Linotype" w:hAnsi="Palatino Linotype"/>
          <w:sz w:val="24"/>
          <w:szCs w:val="24"/>
        </w:rPr>
        <w:t>.</w:t>
      </w:r>
    </w:p>
    <w:p w:rsidR="00C760CB" w:rsidRPr="008363D2" w:rsidRDefault="00C760CB" w:rsidP="00C760CB">
      <w:pPr>
        <w:pStyle w:val="Prrafodelista"/>
        <w:spacing w:line="360" w:lineRule="auto"/>
        <w:ind w:left="360"/>
        <w:jc w:val="both"/>
        <w:rPr>
          <w:rFonts w:ascii="Palatino Linotype" w:hAnsi="Palatino Linotype" w:cs="Arial"/>
          <w:sz w:val="24"/>
          <w:szCs w:val="24"/>
        </w:rPr>
      </w:pPr>
    </w:p>
    <w:p w:rsidR="00C760CB" w:rsidRDefault="00624E22" w:rsidP="003841A6">
      <w:pPr>
        <w:pStyle w:val="Prrafodelista"/>
        <w:numPr>
          <w:ilvl w:val="0"/>
          <w:numId w:val="8"/>
        </w:numPr>
        <w:spacing w:after="0" w:line="360" w:lineRule="auto"/>
        <w:jc w:val="both"/>
        <w:rPr>
          <w:rFonts w:ascii="Palatino Linotype" w:hAnsi="Palatino Linotype" w:cs="Arial"/>
          <w:sz w:val="24"/>
          <w:szCs w:val="24"/>
        </w:rPr>
      </w:pPr>
      <w:r>
        <w:rPr>
          <w:rFonts w:ascii="Palatino Linotype" w:hAnsi="Palatino Linotype" w:cs="Arial"/>
          <w:sz w:val="24"/>
          <w:szCs w:val="24"/>
        </w:rPr>
        <w:t>Luego entonces, si bien es cierto se comparte toralmente el sentido de la resolución.</w:t>
      </w:r>
      <w:r w:rsidRPr="00624E22">
        <w:rPr>
          <w:rFonts w:ascii="Palatino Linotype" w:hAnsi="Palatino Linotype" w:cs="Arial"/>
          <w:sz w:val="24"/>
          <w:szCs w:val="24"/>
        </w:rPr>
        <w:t xml:space="preserve"> </w:t>
      </w:r>
      <w:r w:rsidR="00C760CB" w:rsidRPr="00624E22">
        <w:rPr>
          <w:rFonts w:ascii="Palatino Linotype" w:hAnsi="Palatino Linotype" w:cs="Arial"/>
          <w:sz w:val="24"/>
          <w:szCs w:val="24"/>
        </w:rPr>
        <w:t xml:space="preserve">Mi voto particular se deriva del hecho que </w:t>
      </w:r>
      <w:r w:rsidRPr="00624E22">
        <w:rPr>
          <w:rFonts w:ascii="Palatino Linotype" w:hAnsi="Palatino Linotype" w:cs="Arial"/>
          <w:sz w:val="24"/>
          <w:szCs w:val="24"/>
        </w:rPr>
        <w:t xml:space="preserve">la Ponencia </w:t>
      </w:r>
      <w:proofErr w:type="spellStart"/>
      <w:r w:rsidRPr="00624E22">
        <w:rPr>
          <w:rFonts w:ascii="Palatino Linotype" w:hAnsi="Palatino Linotype" w:cs="Arial"/>
          <w:sz w:val="24"/>
          <w:szCs w:val="24"/>
        </w:rPr>
        <w:t>resolutora</w:t>
      </w:r>
      <w:proofErr w:type="spellEnd"/>
      <w:r w:rsidRPr="00624E22">
        <w:rPr>
          <w:rFonts w:ascii="Palatino Linotype" w:hAnsi="Palatino Linotype" w:cs="Arial"/>
          <w:sz w:val="24"/>
          <w:szCs w:val="24"/>
        </w:rPr>
        <w:t xml:space="preserve"> estableciera que </w:t>
      </w:r>
      <w:r w:rsidR="003841A6">
        <w:rPr>
          <w:rFonts w:ascii="Palatino Linotype" w:hAnsi="Palatino Linotype" w:cs="Arial"/>
          <w:sz w:val="24"/>
          <w:szCs w:val="24"/>
        </w:rPr>
        <w:t>debe emitirse e</w:t>
      </w:r>
      <w:r w:rsidR="003841A6" w:rsidRPr="003841A6">
        <w:rPr>
          <w:rFonts w:ascii="Palatino Linotype" w:hAnsi="Palatino Linotype" w:cs="Arial"/>
          <w:sz w:val="24"/>
          <w:szCs w:val="24"/>
        </w:rPr>
        <w:t xml:space="preserve">l Acuerdo de Clasificación de la información como reservada respecto de los laudos promovidos en el periodo del 1 de enero de 2016 al 25 de abril de 2018 que a la fecha de presentación de la solicitud </w:t>
      </w:r>
      <w:r w:rsidR="003841A6">
        <w:rPr>
          <w:rFonts w:ascii="Palatino Linotype" w:hAnsi="Palatino Linotype" w:cs="Arial"/>
          <w:sz w:val="24"/>
          <w:szCs w:val="24"/>
        </w:rPr>
        <w:t xml:space="preserve">que </w:t>
      </w:r>
      <w:r w:rsidR="003841A6" w:rsidRPr="003841A6">
        <w:rPr>
          <w:rFonts w:ascii="Palatino Linotype" w:hAnsi="Palatino Linotype" w:cs="Arial"/>
          <w:sz w:val="24"/>
          <w:szCs w:val="24"/>
        </w:rPr>
        <w:t>no hayan causado estado</w:t>
      </w:r>
      <w:r w:rsidR="003841A6">
        <w:rPr>
          <w:rFonts w:ascii="Palatino Linotype" w:hAnsi="Palatino Linotype" w:cs="Arial"/>
          <w:sz w:val="24"/>
          <w:szCs w:val="24"/>
        </w:rPr>
        <w:t xml:space="preserve">, aspecto </w:t>
      </w:r>
      <w:r>
        <w:rPr>
          <w:rFonts w:ascii="Palatino Linotype" w:hAnsi="Palatino Linotype" w:cs="Arial"/>
          <w:sz w:val="24"/>
          <w:szCs w:val="24"/>
        </w:rPr>
        <w:t>que no comparto por las consideraciones que se verán en párrafos subsecuentes.</w:t>
      </w:r>
    </w:p>
    <w:p w:rsidR="00C760CB" w:rsidRPr="00D3381C" w:rsidRDefault="00C760CB" w:rsidP="00C760CB">
      <w:pPr>
        <w:pStyle w:val="Prrafodelista"/>
        <w:rPr>
          <w:rFonts w:ascii="Palatino Linotype" w:hAnsi="Palatino Linotype" w:cs="Arial"/>
          <w:sz w:val="24"/>
          <w:szCs w:val="24"/>
        </w:rPr>
      </w:pPr>
    </w:p>
    <w:p w:rsidR="00C760CB" w:rsidRPr="008363D2" w:rsidRDefault="00C760CB" w:rsidP="00C760CB">
      <w:pPr>
        <w:pStyle w:val="Ttulo1"/>
        <w:numPr>
          <w:ilvl w:val="0"/>
          <w:numId w:val="12"/>
        </w:numPr>
        <w:rPr>
          <w:rFonts w:ascii="Palatino Linotype" w:hAnsi="Palatino Linotype"/>
          <w:b/>
          <w:color w:val="000000" w:themeColor="text1"/>
          <w:sz w:val="24"/>
          <w:szCs w:val="24"/>
        </w:rPr>
      </w:pPr>
      <w:bookmarkStart w:id="1" w:name="_Toc522535798"/>
      <w:r w:rsidRPr="008363D2">
        <w:rPr>
          <w:rFonts w:ascii="Palatino Linotype" w:hAnsi="Palatino Linotype"/>
          <w:b/>
          <w:color w:val="000000" w:themeColor="text1"/>
          <w:sz w:val="24"/>
          <w:szCs w:val="24"/>
        </w:rPr>
        <w:t>De los requerimientos planteados en el recurso de revisión.</w:t>
      </w:r>
      <w:bookmarkEnd w:id="1"/>
    </w:p>
    <w:p w:rsidR="00C760CB" w:rsidRPr="008363D2" w:rsidRDefault="00C760CB" w:rsidP="00C760CB">
      <w:pPr>
        <w:rPr>
          <w:rFonts w:ascii="Palatino Linotype" w:hAnsi="Palatino Linotype"/>
          <w:sz w:val="24"/>
          <w:szCs w:val="24"/>
        </w:rPr>
      </w:pPr>
    </w:p>
    <w:p w:rsidR="00C760CB" w:rsidRPr="00624E22" w:rsidRDefault="00624E22" w:rsidP="003841A6">
      <w:pPr>
        <w:pStyle w:val="Prrafodelista"/>
        <w:widowControl w:val="0"/>
        <w:numPr>
          <w:ilvl w:val="0"/>
          <w:numId w:val="8"/>
        </w:numPr>
        <w:autoSpaceDE w:val="0"/>
        <w:autoSpaceDN w:val="0"/>
        <w:adjustRightInd w:val="0"/>
        <w:spacing w:after="0" w:line="360" w:lineRule="auto"/>
        <w:contextualSpacing w:val="0"/>
        <w:jc w:val="both"/>
        <w:rPr>
          <w:rFonts w:ascii="Palatino Linotype" w:hAnsi="Palatino Linotype" w:cs="Arial"/>
          <w:sz w:val="24"/>
          <w:szCs w:val="24"/>
          <w:lang w:val="es-ES" w:eastAsia="es-MX"/>
        </w:rPr>
      </w:pPr>
      <w:r w:rsidRPr="00624E22">
        <w:rPr>
          <w:rFonts w:ascii="Palatino Linotype" w:hAnsi="Palatino Linotype" w:cs="Arial"/>
          <w:sz w:val="24"/>
          <w:szCs w:val="24"/>
        </w:rPr>
        <w:t>El hoy recurrente</w:t>
      </w:r>
      <w:r w:rsidR="00C760CB" w:rsidRPr="00624E22">
        <w:rPr>
          <w:rFonts w:ascii="Palatino Linotype" w:hAnsi="Palatino Linotype" w:cs="Arial"/>
          <w:sz w:val="24"/>
          <w:szCs w:val="24"/>
        </w:rPr>
        <w:t>, mediante solicitud</w:t>
      </w:r>
      <w:r w:rsidR="003841A6">
        <w:rPr>
          <w:rFonts w:ascii="Palatino Linotype" w:hAnsi="Palatino Linotype" w:cs="Arial"/>
          <w:sz w:val="24"/>
          <w:szCs w:val="24"/>
        </w:rPr>
        <w:t>es</w:t>
      </w:r>
      <w:r w:rsidR="00C760CB" w:rsidRPr="00624E22">
        <w:rPr>
          <w:rFonts w:ascii="Palatino Linotype" w:hAnsi="Palatino Linotype" w:cs="Arial"/>
          <w:sz w:val="24"/>
          <w:szCs w:val="24"/>
        </w:rPr>
        <w:t xml:space="preserve"> de acceso a la información </w:t>
      </w:r>
      <w:r w:rsidR="003841A6">
        <w:rPr>
          <w:rFonts w:ascii="Palatino Linotype" w:hAnsi="Palatino Linotype" w:cs="Arial"/>
          <w:sz w:val="24"/>
          <w:szCs w:val="24"/>
        </w:rPr>
        <w:t xml:space="preserve">identificadas con los numerales </w:t>
      </w:r>
      <w:r w:rsidR="003841A6" w:rsidRPr="003841A6">
        <w:rPr>
          <w:rFonts w:ascii="Palatino Linotype" w:hAnsi="Palatino Linotype" w:cs="Arial"/>
          <w:sz w:val="24"/>
          <w:szCs w:val="24"/>
        </w:rPr>
        <w:t>00257/NAUCALPA/IP/2018 y 00256/NAUCALPA/IP/2018</w:t>
      </w:r>
      <w:r w:rsidR="003841A6">
        <w:rPr>
          <w:rFonts w:ascii="Palatino Linotype" w:hAnsi="Palatino Linotype" w:cs="Arial"/>
          <w:sz w:val="24"/>
          <w:szCs w:val="24"/>
        </w:rPr>
        <w:t xml:space="preserve">, </w:t>
      </w:r>
      <w:r w:rsidR="00C760CB" w:rsidRPr="00624E22">
        <w:rPr>
          <w:rFonts w:ascii="Palatino Linotype" w:hAnsi="Palatino Linotype" w:cs="Arial"/>
          <w:sz w:val="24"/>
          <w:szCs w:val="24"/>
        </w:rPr>
        <w:t xml:space="preserve">requirió la información siguiente: </w:t>
      </w:r>
    </w:p>
    <w:p w:rsidR="00624E22" w:rsidRPr="00624E22" w:rsidRDefault="00624E22" w:rsidP="00624E22">
      <w:pPr>
        <w:spacing w:before="240" w:after="240"/>
        <w:ind w:left="851" w:right="899"/>
        <w:jc w:val="both"/>
        <w:rPr>
          <w:rFonts w:ascii="Palatino Linotype" w:hAnsi="Palatino Linotype" w:cs="Arial"/>
          <w:b/>
          <w:i/>
          <w:sz w:val="24"/>
          <w:lang w:eastAsia="es-MX"/>
        </w:rPr>
      </w:pPr>
      <w:r w:rsidRPr="00624E22">
        <w:rPr>
          <w:rFonts w:ascii="Palatino Linotype" w:hAnsi="Palatino Linotype" w:cs="Arial"/>
          <w:b/>
          <w:i/>
          <w:sz w:val="24"/>
          <w:lang w:eastAsia="es-MX"/>
        </w:rPr>
        <w:t xml:space="preserve">00257/NAUCALPA/IP/2018 </w:t>
      </w:r>
    </w:p>
    <w:p w:rsidR="00624E22" w:rsidRPr="00624E22" w:rsidRDefault="00624E22" w:rsidP="00624E22">
      <w:pPr>
        <w:spacing w:before="240" w:after="240"/>
        <w:ind w:left="851" w:right="899"/>
        <w:jc w:val="both"/>
        <w:rPr>
          <w:rFonts w:ascii="Palatino Linotype" w:hAnsi="Palatino Linotype" w:cs="Arial"/>
          <w:i/>
          <w:sz w:val="24"/>
          <w:lang w:eastAsia="es-MX"/>
        </w:rPr>
      </w:pPr>
      <w:r w:rsidRPr="00624E22">
        <w:rPr>
          <w:rFonts w:ascii="Palatino Linotype" w:hAnsi="Palatino Linotype" w:cs="Arial"/>
          <w:b/>
          <w:i/>
          <w:sz w:val="24"/>
          <w:lang w:eastAsia="es-MX"/>
        </w:rPr>
        <w:t>“</w:t>
      </w:r>
      <w:r w:rsidRPr="00624E22">
        <w:rPr>
          <w:rFonts w:ascii="Palatino Linotype" w:hAnsi="Palatino Linotype" w:cs="Arial"/>
          <w:i/>
          <w:sz w:val="24"/>
          <w:lang w:eastAsia="es-MX"/>
        </w:rPr>
        <w:t xml:space="preserve">Cuantos han sido los amparos que ha llevado la Dirección General Jurídica y cuales han ganado y perdido, señalando el nombre de los </w:t>
      </w:r>
      <w:r w:rsidRPr="00624E22">
        <w:rPr>
          <w:rFonts w:ascii="Palatino Linotype" w:hAnsi="Palatino Linotype" w:cs="Arial"/>
          <w:i/>
          <w:sz w:val="24"/>
          <w:lang w:eastAsia="es-MX"/>
        </w:rPr>
        <w:lastRenderedPageBreak/>
        <w:t xml:space="preserve">quejosos y el </w:t>
      </w:r>
      <w:proofErr w:type="spellStart"/>
      <w:r w:rsidRPr="00624E22">
        <w:rPr>
          <w:rFonts w:ascii="Palatino Linotype" w:hAnsi="Palatino Linotype" w:cs="Arial"/>
          <w:i/>
          <w:sz w:val="24"/>
          <w:lang w:eastAsia="es-MX"/>
        </w:rPr>
        <w:t>porque</w:t>
      </w:r>
      <w:proofErr w:type="spellEnd"/>
      <w:r w:rsidRPr="00624E22">
        <w:rPr>
          <w:rFonts w:ascii="Palatino Linotype" w:hAnsi="Palatino Linotype" w:cs="Arial"/>
          <w:i/>
          <w:sz w:val="24"/>
          <w:lang w:eastAsia="es-MX"/>
        </w:rPr>
        <w:t xml:space="preserve"> se han amparado, del periodo 1 de enero del 2016 al 25 de abril del 2018</w:t>
      </w:r>
      <w:r w:rsidRPr="00624E22">
        <w:rPr>
          <w:rFonts w:ascii="Palatino Linotype" w:hAnsi="Palatino Linotype" w:cs="Arial"/>
          <w:b/>
          <w:i/>
          <w:sz w:val="24"/>
          <w:lang w:eastAsia="es-MX"/>
        </w:rPr>
        <w:t>"</w:t>
      </w:r>
      <w:r w:rsidRPr="00624E22">
        <w:rPr>
          <w:rFonts w:ascii="Palatino Linotype" w:hAnsi="Palatino Linotype" w:cs="Arial"/>
          <w:i/>
          <w:sz w:val="24"/>
          <w:lang w:eastAsia="es-MX"/>
        </w:rPr>
        <w:t xml:space="preserve"> </w:t>
      </w:r>
      <w:r w:rsidRPr="00E2527F">
        <w:rPr>
          <w:rFonts w:ascii="Palatino Linotype" w:hAnsi="Palatino Linotype" w:cs="Arial"/>
          <w:sz w:val="24"/>
          <w:lang w:eastAsia="es-MX"/>
        </w:rPr>
        <w:t>(sic)</w:t>
      </w:r>
    </w:p>
    <w:p w:rsidR="00624E22" w:rsidRPr="00624E22" w:rsidRDefault="00624E22" w:rsidP="00624E22">
      <w:pPr>
        <w:spacing w:before="240" w:after="240"/>
        <w:ind w:left="851" w:right="899"/>
        <w:jc w:val="both"/>
        <w:rPr>
          <w:rFonts w:ascii="Palatino Linotype" w:hAnsi="Palatino Linotype" w:cs="Arial"/>
          <w:b/>
          <w:i/>
          <w:sz w:val="24"/>
          <w:lang w:eastAsia="es-MX"/>
        </w:rPr>
      </w:pPr>
    </w:p>
    <w:p w:rsidR="00624E22" w:rsidRPr="00624E22" w:rsidRDefault="00624E22" w:rsidP="00624E22">
      <w:pPr>
        <w:spacing w:before="240" w:after="240"/>
        <w:ind w:left="851" w:right="899"/>
        <w:jc w:val="both"/>
        <w:rPr>
          <w:rFonts w:ascii="Palatino Linotype" w:hAnsi="Palatino Linotype" w:cs="Arial"/>
          <w:b/>
          <w:i/>
          <w:sz w:val="24"/>
          <w:lang w:eastAsia="es-MX"/>
        </w:rPr>
      </w:pPr>
      <w:r w:rsidRPr="00624E22">
        <w:rPr>
          <w:rFonts w:ascii="Palatino Linotype" w:hAnsi="Palatino Linotype" w:cs="Arial"/>
          <w:b/>
          <w:i/>
          <w:sz w:val="24"/>
          <w:lang w:eastAsia="es-MX"/>
        </w:rPr>
        <w:t>00256/NAUCALPA/IP/2018</w:t>
      </w:r>
    </w:p>
    <w:p w:rsidR="00624E22" w:rsidRPr="00624E22" w:rsidRDefault="00624E22" w:rsidP="00624E22">
      <w:pPr>
        <w:spacing w:before="240" w:after="240"/>
        <w:ind w:left="851" w:right="899"/>
        <w:jc w:val="both"/>
        <w:rPr>
          <w:rFonts w:ascii="Palatino Linotype" w:hAnsi="Palatino Linotype" w:cs="Arial"/>
          <w:i/>
          <w:sz w:val="24"/>
          <w:lang w:eastAsia="es-MX"/>
        </w:rPr>
      </w:pPr>
      <w:r w:rsidRPr="00624E22">
        <w:rPr>
          <w:rFonts w:ascii="Palatino Linotype" w:hAnsi="Palatino Linotype" w:cs="Arial"/>
          <w:b/>
          <w:i/>
          <w:sz w:val="24"/>
          <w:lang w:eastAsia="es-MX"/>
        </w:rPr>
        <w:t>“</w:t>
      </w:r>
      <w:proofErr w:type="spellStart"/>
      <w:r w:rsidRPr="00624E22">
        <w:rPr>
          <w:rFonts w:ascii="Palatino Linotype" w:hAnsi="Palatino Linotype" w:cs="Arial"/>
          <w:i/>
          <w:sz w:val="24"/>
          <w:lang w:eastAsia="es-MX"/>
        </w:rPr>
        <w:t>Cuales</w:t>
      </w:r>
      <w:proofErr w:type="spellEnd"/>
      <w:r w:rsidRPr="00624E22">
        <w:rPr>
          <w:rFonts w:ascii="Palatino Linotype" w:hAnsi="Palatino Linotype" w:cs="Arial"/>
          <w:i/>
          <w:sz w:val="24"/>
          <w:lang w:eastAsia="es-MX"/>
        </w:rPr>
        <w:t xml:space="preserve"> y cuantos son los juicios laborales que lleva como defensa legal la Dirección General Jurídica del H. Ayuntamiento de Naucalpan de Juárez, señalando número de expediente así como nombre de los ex servidores públicos y </w:t>
      </w:r>
      <w:proofErr w:type="spellStart"/>
      <w:r w:rsidRPr="00624E22">
        <w:rPr>
          <w:rFonts w:ascii="Palatino Linotype" w:hAnsi="Palatino Linotype" w:cs="Arial"/>
          <w:i/>
          <w:sz w:val="24"/>
          <w:lang w:eastAsia="es-MX"/>
        </w:rPr>
        <w:t>cuales</w:t>
      </w:r>
      <w:proofErr w:type="spellEnd"/>
      <w:r w:rsidRPr="00624E22">
        <w:rPr>
          <w:rFonts w:ascii="Palatino Linotype" w:hAnsi="Palatino Linotype" w:cs="Arial"/>
          <w:i/>
          <w:sz w:val="24"/>
          <w:lang w:eastAsia="es-MX"/>
        </w:rPr>
        <w:t xml:space="preserve"> han sido pagados y que cantidad se les ha pagado, todo ello del periodo 1 de enero del 2016 al 30 de abril del 2018.</w:t>
      </w:r>
      <w:r w:rsidRPr="00624E22">
        <w:rPr>
          <w:rFonts w:ascii="Palatino Linotype" w:hAnsi="Palatino Linotype" w:cs="Arial"/>
          <w:b/>
          <w:i/>
          <w:sz w:val="24"/>
          <w:lang w:eastAsia="es-MX"/>
        </w:rPr>
        <w:t>”</w:t>
      </w:r>
      <w:r w:rsidR="00E2527F">
        <w:rPr>
          <w:rFonts w:ascii="Palatino Linotype" w:hAnsi="Palatino Linotype" w:cs="Arial"/>
          <w:b/>
          <w:i/>
          <w:sz w:val="24"/>
          <w:lang w:eastAsia="es-MX"/>
        </w:rPr>
        <w:t xml:space="preserve"> </w:t>
      </w:r>
      <w:r w:rsidRPr="00E2527F">
        <w:rPr>
          <w:rFonts w:ascii="Palatino Linotype" w:hAnsi="Palatino Linotype" w:cs="Arial"/>
          <w:sz w:val="24"/>
          <w:lang w:eastAsia="es-MX"/>
        </w:rPr>
        <w:t>(</w:t>
      </w:r>
      <w:proofErr w:type="gramStart"/>
      <w:r w:rsidRPr="00E2527F">
        <w:rPr>
          <w:rFonts w:ascii="Palatino Linotype" w:hAnsi="Palatino Linotype" w:cs="Arial"/>
          <w:sz w:val="24"/>
          <w:lang w:eastAsia="es-MX"/>
        </w:rPr>
        <w:t>sic</w:t>
      </w:r>
      <w:proofErr w:type="gramEnd"/>
      <w:r w:rsidRPr="00E2527F">
        <w:rPr>
          <w:rFonts w:ascii="Palatino Linotype" w:hAnsi="Palatino Linotype" w:cs="Arial"/>
          <w:sz w:val="24"/>
          <w:lang w:eastAsia="es-MX"/>
        </w:rPr>
        <w:t>)</w:t>
      </w:r>
    </w:p>
    <w:p w:rsidR="00624E22" w:rsidRPr="00624E22" w:rsidRDefault="00624E22" w:rsidP="00624E22">
      <w:pPr>
        <w:pStyle w:val="Prrafodelista"/>
        <w:widowControl w:val="0"/>
        <w:autoSpaceDE w:val="0"/>
        <w:autoSpaceDN w:val="0"/>
        <w:adjustRightInd w:val="0"/>
        <w:spacing w:after="0" w:line="360" w:lineRule="auto"/>
        <w:ind w:left="426"/>
        <w:contextualSpacing w:val="0"/>
        <w:jc w:val="both"/>
        <w:rPr>
          <w:rFonts w:ascii="Palatino Linotype" w:hAnsi="Palatino Linotype" w:cs="Arial"/>
          <w:sz w:val="24"/>
          <w:szCs w:val="24"/>
          <w:lang w:val="es-ES" w:eastAsia="es-MX"/>
        </w:rPr>
      </w:pPr>
    </w:p>
    <w:p w:rsidR="00C760CB" w:rsidRDefault="00C760CB" w:rsidP="00C760CB">
      <w:pPr>
        <w:pStyle w:val="Prrafodelista"/>
        <w:numPr>
          <w:ilvl w:val="0"/>
          <w:numId w:val="8"/>
        </w:numPr>
        <w:spacing w:after="0" w:line="360" w:lineRule="auto"/>
        <w:jc w:val="both"/>
        <w:rPr>
          <w:rFonts w:ascii="Palatino Linotype" w:hAnsi="Palatino Linotype" w:cs="Arial"/>
          <w:sz w:val="24"/>
          <w:szCs w:val="24"/>
        </w:rPr>
      </w:pPr>
      <w:r w:rsidRPr="00E2527F">
        <w:rPr>
          <w:rFonts w:ascii="Palatino Linotype" w:hAnsi="Palatino Linotype" w:cs="Arial"/>
          <w:sz w:val="24"/>
          <w:szCs w:val="24"/>
        </w:rPr>
        <w:t xml:space="preserve">En ese sentido, </w:t>
      </w:r>
      <w:r w:rsidR="00E2527F" w:rsidRPr="00E2527F">
        <w:rPr>
          <w:rFonts w:ascii="Palatino Linotype" w:hAnsi="Palatino Linotype" w:cs="Arial"/>
          <w:sz w:val="24"/>
          <w:szCs w:val="24"/>
        </w:rPr>
        <w:t>el particular</w:t>
      </w:r>
      <w:r w:rsidRPr="00E2527F">
        <w:rPr>
          <w:rFonts w:ascii="Palatino Linotype" w:hAnsi="Palatino Linotype" w:cs="Arial"/>
          <w:sz w:val="24"/>
          <w:szCs w:val="24"/>
        </w:rPr>
        <w:t xml:space="preserve"> </w:t>
      </w:r>
      <w:r w:rsidR="00E2527F" w:rsidRPr="00E2527F">
        <w:rPr>
          <w:rFonts w:ascii="Palatino Linotype" w:hAnsi="Palatino Linotype" w:cs="Arial"/>
          <w:sz w:val="24"/>
          <w:szCs w:val="24"/>
        </w:rPr>
        <w:t xml:space="preserve">de manera legítima </w:t>
      </w:r>
      <w:r w:rsidRPr="00E2527F">
        <w:rPr>
          <w:rFonts w:ascii="Palatino Linotype" w:hAnsi="Palatino Linotype" w:cs="Arial"/>
          <w:sz w:val="24"/>
          <w:szCs w:val="24"/>
        </w:rPr>
        <w:t>manifestó en su recurso de revisión como acto impugnado lo siguiente:</w:t>
      </w:r>
    </w:p>
    <w:p w:rsidR="006B4BC2" w:rsidRPr="00E2527F" w:rsidRDefault="006B4BC2" w:rsidP="006B4BC2">
      <w:pPr>
        <w:pStyle w:val="Prrafodelista"/>
        <w:spacing w:after="0" w:line="360" w:lineRule="auto"/>
        <w:ind w:left="360"/>
        <w:jc w:val="both"/>
        <w:rPr>
          <w:rFonts w:ascii="Palatino Linotype" w:hAnsi="Palatino Linotype" w:cs="Arial"/>
          <w:sz w:val="24"/>
          <w:szCs w:val="24"/>
        </w:rPr>
      </w:pPr>
    </w:p>
    <w:p w:rsidR="00C760CB" w:rsidRPr="00E2527F" w:rsidRDefault="00C760CB" w:rsidP="00C760CB">
      <w:pPr>
        <w:pStyle w:val="Prrafodelista"/>
        <w:tabs>
          <w:tab w:val="left" w:pos="9214"/>
        </w:tabs>
        <w:spacing w:before="120" w:after="120" w:line="276" w:lineRule="auto"/>
        <w:ind w:left="567" w:right="709"/>
        <w:jc w:val="both"/>
        <w:rPr>
          <w:rFonts w:ascii="Palatino Linotype" w:hAnsi="Palatino Linotype" w:cs="Arial"/>
          <w:sz w:val="24"/>
          <w:szCs w:val="24"/>
          <w:lang w:eastAsia="es-MX"/>
        </w:rPr>
      </w:pPr>
      <w:r w:rsidRPr="00E2527F">
        <w:rPr>
          <w:rFonts w:ascii="Palatino Linotype" w:hAnsi="Palatino Linotype" w:cs="Arial"/>
          <w:i/>
          <w:sz w:val="24"/>
          <w:szCs w:val="24"/>
          <w:lang w:eastAsia="es-MX"/>
        </w:rPr>
        <w:t>“</w:t>
      </w:r>
      <w:r w:rsidR="00E2527F" w:rsidRPr="00E2527F">
        <w:rPr>
          <w:rFonts w:ascii="Palatino Linotype" w:hAnsi="Palatino Linotype"/>
          <w:i/>
          <w:color w:val="000000"/>
          <w:sz w:val="24"/>
          <w:szCs w:val="24"/>
        </w:rPr>
        <w:t>La respuesta dada a mi solicitud</w:t>
      </w:r>
      <w:r w:rsidRPr="00E2527F">
        <w:rPr>
          <w:rFonts w:ascii="Palatino Linotype" w:hAnsi="Palatino Linotype"/>
          <w:i/>
          <w:sz w:val="24"/>
          <w:szCs w:val="24"/>
          <w:lang w:eastAsia="es-MX"/>
        </w:rPr>
        <w:t xml:space="preserve">" </w:t>
      </w:r>
      <w:r w:rsidRPr="00E2527F">
        <w:rPr>
          <w:rFonts w:ascii="Palatino Linotype" w:hAnsi="Palatino Linotype" w:cs="Arial"/>
          <w:sz w:val="24"/>
          <w:szCs w:val="24"/>
          <w:lang w:eastAsia="es-MX"/>
        </w:rPr>
        <w:t>(Sic)</w:t>
      </w:r>
    </w:p>
    <w:p w:rsidR="00C760CB" w:rsidRPr="00E2527F" w:rsidRDefault="00C760CB" w:rsidP="00C760CB">
      <w:pPr>
        <w:pStyle w:val="Prrafodelista"/>
        <w:tabs>
          <w:tab w:val="left" w:pos="9214"/>
        </w:tabs>
        <w:spacing w:before="120" w:after="120" w:line="276" w:lineRule="auto"/>
        <w:ind w:left="567" w:right="709"/>
        <w:jc w:val="both"/>
        <w:rPr>
          <w:rFonts w:ascii="Palatino Linotype" w:hAnsi="Palatino Linotype"/>
          <w:i/>
          <w:sz w:val="24"/>
          <w:szCs w:val="24"/>
          <w:lang w:eastAsia="es-MX"/>
        </w:rPr>
      </w:pPr>
    </w:p>
    <w:p w:rsidR="00C760CB" w:rsidRPr="00E2527F" w:rsidRDefault="00C760CB" w:rsidP="00C760CB">
      <w:pPr>
        <w:pStyle w:val="Prrafodelista"/>
        <w:spacing w:before="120" w:after="120" w:line="360" w:lineRule="auto"/>
        <w:ind w:left="360"/>
        <w:contextualSpacing w:val="0"/>
        <w:jc w:val="both"/>
        <w:rPr>
          <w:rFonts w:ascii="Palatino Linotype" w:eastAsia="Arial Unicode MS" w:hAnsi="Palatino Linotype" w:cs="Arial"/>
          <w:sz w:val="24"/>
          <w:szCs w:val="24"/>
        </w:rPr>
      </w:pPr>
      <w:r w:rsidRPr="00E2527F">
        <w:rPr>
          <w:rFonts w:ascii="Palatino Linotype" w:hAnsi="Palatino Linotype"/>
          <w:sz w:val="24"/>
          <w:szCs w:val="24"/>
        </w:rPr>
        <w:t>Y</w:t>
      </w:r>
      <w:r w:rsidRPr="00E2527F">
        <w:rPr>
          <w:rFonts w:ascii="Palatino Linotype" w:eastAsia="Arial Unicode MS" w:hAnsi="Palatino Linotype" w:cs="Arial"/>
          <w:sz w:val="24"/>
          <w:szCs w:val="24"/>
        </w:rPr>
        <w:t xml:space="preserve"> como razones o motivos de inconformidad, lo siguiente: </w:t>
      </w:r>
    </w:p>
    <w:p w:rsidR="00C760CB" w:rsidRPr="00E2527F" w:rsidRDefault="00C760CB" w:rsidP="00C760CB">
      <w:pPr>
        <w:tabs>
          <w:tab w:val="left" w:pos="9214"/>
        </w:tabs>
        <w:spacing w:before="120" w:after="120" w:line="276" w:lineRule="auto"/>
        <w:ind w:left="709" w:right="709"/>
        <w:jc w:val="both"/>
        <w:rPr>
          <w:rFonts w:ascii="Palatino Linotype" w:hAnsi="Palatino Linotype" w:cs="Arial"/>
          <w:sz w:val="24"/>
          <w:szCs w:val="24"/>
          <w:lang w:eastAsia="es-MX"/>
        </w:rPr>
      </w:pPr>
      <w:r w:rsidRPr="00E2527F">
        <w:rPr>
          <w:rFonts w:ascii="Palatino Linotype" w:hAnsi="Palatino Linotype" w:cs="Arial"/>
          <w:i/>
          <w:sz w:val="24"/>
          <w:szCs w:val="24"/>
          <w:lang w:eastAsia="es-MX"/>
        </w:rPr>
        <w:t>“</w:t>
      </w:r>
      <w:r w:rsidR="00E2527F" w:rsidRPr="00E2527F">
        <w:rPr>
          <w:rFonts w:ascii="Palatino Linotype" w:hAnsi="Palatino Linotype"/>
          <w:i/>
          <w:color w:val="000000"/>
          <w:sz w:val="24"/>
          <w:szCs w:val="24"/>
        </w:rPr>
        <w:t>No se me proporcionaron los documentos y datos de mi solicitud.</w:t>
      </w:r>
      <w:r w:rsidRPr="00E2527F">
        <w:rPr>
          <w:rFonts w:ascii="Palatino Linotype" w:hAnsi="Palatino Linotype" w:cs="Arial"/>
          <w:i/>
          <w:sz w:val="24"/>
          <w:szCs w:val="24"/>
          <w:lang w:eastAsia="es-MX"/>
        </w:rPr>
        <w:t xml:space="preserve">” </w:t>
      </w:r>
      <w:r w:rsidRPr="00E2527F">
        <w:rPr>
          <w:rFonts w:ascii="Palatino Linotype" w:hAnsi="Palatino Linotype" w:cs="Arial"/>
          <w:sz w:val="24"/>
          <w:szCs w:val="24"/>
          <w:lang w:eastAsia="es-MX"/>
        </w:rPr>
        <w:t>(Sic)</w:t>
      </w:r>
    </w:p>
    <w:p w:rsidR="00C760CB" w:rsidRPr="008363D2" w:rsidRDefault="00C760CB" w:rsidP="00C760CB">
      <w:pPr>
        <w:pStyle w:val="Prrafodelista"/>
        <w:spacing w:line="360" w:lineRule="auto"/>
        <w:ind w:left="360"/>
        <w:jc w:val="both"/>
        <w:rPr>
          <w:rFonts w:ascii="Palatino Linotype" w:hAnsi="Palatino Linotype" w:cs="Arial"/>
          <w:sz w:val="24"/>
          <w:szCs w:val="24"/>
        </w:rPr>
      </w:pPr>
    </w:p>
    <w:p w:rsidR="00C760CB" w:rsidRPr="008363D2" w:rsidRDefault="00C760CB" w:rsidP="00C760CB">
      <w:pPr>
        <w:pStyle w:val="Ttulo1"/>
        <w:numPr>
          <w:ilvl w:val="0"/>
          <w:numId w:val="12"/>
        </w:numPr>
        <w:rPr>
          <w:rFonts w:ascii="Palatino Linotype" w:hAnsi="Palatino Linotype"/>
          <w:b/>
          <w:color w:val="000000" w:themeColor="text1"/>
          <w:sz w:val="24"/>
          <w:szCs w:val="24"/>
        </w:rPr>
      </w:pPr>
      <w:bookmarkStart w:id="2" w:name="_Toc522535799"/>
      <w:r w:rsidRPr="008363D2">
        <w:rPr>
          <w:rFonts w:ascii="Palatino Linotype" w:hAnsi="Palatino Linotype"/>
          <w:b/>
          <w:color w:val="000000" w:themeColor="text1"/>
          <w:sz w:val="24"/>
          <w:szCs w:val="24"/>
        </w:rPr>
        <w:t>De</w:t>
      </w:r>
      <w:r w:rsidR="00E2527F">
        <w:rPr>
          <w:rFonts w:ascii="Palatino Linotype" w:hAnsi="Palatino Linotype"/>
          <w:b/>
          <w:color w:val="000000" w:themeColor="text1"/>
          <w:sz w:val="24"/>
          <w:szCs w:val="24"/>
        </w:rPr>
        <w:t xml:space="preserve"> la reserva de información</w:t>
      </w:r>
      <w:r w:rsidRPr="008363D2">
        <w:rPr>
          <w:rFonts w:ascii="Palatino Linotype" w:hAnsi="Palatino Linotype"/>
          <w:b/>
          <w:color w:val="000000" w:themeColor="text1"/>
          <w:sz w:val="24"/>
          <w:szCs w:val="24"/>
        </w:rPr>
        <w:t>.</w:t>
      </w:r>
      <w:bookmarkEnd w:id="2"/>
    </w:p>
    <w:p w:rsidR="00C760CB" w:rsidRPr="008363D2" w:rsidRDefault="00C760CB" w:rsidP="00C760CB">
      <w:pPr>
        <w:pStyle w:val="Prrafodelista"/>
        <w:spacing w:line="360" w:lineRule="auto"/>
        <w:ind w:left="360"/>
        <w:jc w:val="both"/>
        <w:rPr>
          <w:rFonts w:ascii="Palatino Linotype" w:hAnsi="Palatino Linotype" w:cs="Arial"/>
          <w:sz w:val="24"/>
          <w:szCs w:val="24"/>
        </w:rPr>
      </w:pPr>
    </w:p>
    <w:p w:rsidR="00E2527F" w:rsidRDefault="00E2527F" w:rsidP="00C760CB">
      <w:pPr>
        <w:pStyle w:val="Prrafodelista"/>
        <w:numPr>
          <w:ilvl w:val="0"/>
          <w:numId w:val="8"/>
        </w:numPr>
        <w:spacing w:after="0" w:line="360" w:lineRule="auto"/>
        <w:jc w:val="both"/>
        <w:rPr>
          <w:rFonts w:ascii="Palatino Linotype" w:eastAsia="Times New Roman" w:hAnsi="Palatino Linotype" w:cs="Arial"/>
          <w:color w:val="222222"/>
          <w:sz w:val="24"/>
          <w:szCs w:val="24"/>
          <w:lang w:val="es-ES" w:eastAsia="es-MX"/>
        </w:rPr>
      </w:pPr>
      <w:r>
        <w:rPr>
          <w:rFonts w:ascii="Palatino Linotype" w:eastAsia="Times New Roman" w:hAnsi="Palatino Linotype" w:cs="Arial"/>
          <w:color w:val="222222"/>
          <w:sz w:val="24"/>
          <w:szCs w:val="24"/>
          <w:lang w:val="es-ES" w:eastAsia="es-MX"/>
        </w:rPr>
        <w:t xml:space="preserve">Como se mencionara anteriormente, la ponencia </w:t>
      </w:r>
      <w:proofErr w:type="spellStart"/>
      <w:r>
        <w:rPr>
          <w:rFonts w:ascii="Palatino Linotype" w:eastAsia="Times New Roman" w:hAnsi="Palatino Linotype" w:cs="Arial"/>
          <w:color w:val="222222"/>
          <w:sz w:val="24"/>
          <w:szCs w:val="24"/>
          <w:lang w:val="es-ES" w:eastAsia="es-MX"/>
        </w:rPr>
        <w:t>resolutora</w:t>
      </w:r>
      <w:proofErr w:type="spellEnd"/>
      <w:r>
        <w:rPr>
          <w:rFonts w:ascii="Palatino Linotype" w:eastAsia="Times New Roman" w:hAnsi="Palatino Linotype" w:cs="Arial"/>
          <w:color w:val="222222"/>
          <w:sz w:val="24"/>
          <w:szCs w:val="24"/>
          <w:lang w:val="es-ES" w:eastAsia="es-MX"/>
        </w:rPr>
        <w:t xml:space="preserve"> determino ordenar al sujeto obligado en el </w:t>
      </w:r>
      <w:r w:rsidRPr="00E2527F">
        <w:rPr>
          <w:rFonts w:ascii="Palatino Linotype" w:eastAsia="Times New Roman" w:hAnsi="Palatino Linotype" w:cs="Arial"/>
          <w:b/>
          <w:color w:val="222222"/>
          <w:sz w:val="24"/>
          <w:szCs w:val="24"/>
          <w:lang w:val="es-ES" w:eastAsia="es-MX"/>
        </w:rPr>
        <w:t>inciso e)</w:t>
      </w:r>
      <w:r>
        <w:rPr>
          <w:rFonts w:ascii="Palatino Linotype" w:eastAsia="Times New Roman" w:hAnsi="Palatino Linotype" w:cs="Arial"/>
          <w:b/>
          <w:color w:val="222222"/>
          <w:sz w:val="24"/>
          <w:szCs w:val="24"/>
          <w:lang w:val="es-ES" w:eastAsia="es-MX"/>
        </w:rPr>
        <w:t xml:space="preserve"> </w:t>
      </w:r>
      <w:r w:rsidRPr="00E2527F">
        <w:rPr>
          <w:rFonts w:ascii="Palatino Linotype" w:eastAsia="Times New Roman" w:hAnsi="Palatino Linotype" w:cs="Arial"/>
          <w:color w:val="222222"/>
          <w:sz w:val="24"/>
          <w:szCs w:val="24"/>
          <w:lang w:val="es-ES" w:eastAsia="es-MX"/>
        </w:rPr>
        <w:t>de sus resolutivos lo siguiente:</w:t>
      </w:r>
    </w:p>
    <w:p w:rsidR="00E2527F" w:rsidRPr="00E2527F" w:rsidRDefault="00E2527F" w:rsidP="003841A6">
      <w:pPr>
        <w:pStyle w:val="Sinespaciado"/>
        <w:numPr>
          <w:ilvl w:val="0"/>
          <w:numId w:val="13"/>
        </w:numPr>
        <w:spacing w:before="240" w:after="240" w:line="360" w:lineRule="auto"/>
        <w:ind w:left="993" w:hanging="284"/>
        <w:jc w:val="both"/>
        <w:rPr>
          <w:rFonts w:ascii="Palatino Linotype" w:hAnsi="Palatino Linotype"/>
          <w:i/>
          <w:sz w:val="24"/>
        </w:rPr>
      </w:pPr>
      <w:r w:rsidRPr="00E2527F">
        <w:rPr>
          <w:rFonts w:ascii="Palatino Linotype" w:hAnsi="Palatino Linotype"/>
          <w:i/>
          <w:sz w:val="24"/>
        </w:rPr>
        <w:lastRenderedPageBreak/>
        <w:t>El Acuerdo de Clasificación de la información como reservada respecto de los laudos promovidos en el periodo del 1 de enero de 2016 al 25 de abril de 2018 que a la fecha de presentación de la solicitud no hayan causado estado</w:t>
      </w:r>
    </w:p>
    <w:p w:rsidR="00E2527F" w:rsidRDefault="00E2527F" w:rsidP="00E2527F">
      <w:pPr>
        <w:pStyle w:val="Prrafodelista"/>
        <w:spacing w:after="0" w:line="360" w:lineRule="auto"/>
        <w:ind w:left="360"/>
        <w:jc w:val="both"/>
        <w:rPr>
          <w:rFonts w:ascii="Palatino Linotype" w:eastAsia="Times New Roman" w:hAnsi="Palatino Linotype" w:cs="Arial"/>
          <w:color w:val="222222"/>
          <w:sz w:val="24"/>
          <w:szCs w:val="24"/>
          <w:lang w:val="es-ES" w:eastAsia="es-MX"/>
        </w:rPr>
      </w:pPr>
    </w:p>
    <w:p w:rsidR="00FA4BCC" w:rsidRDefault="00C760CB" w:rsidP="00C760CB">
      <w:pPr>
        <w:pStyle w:val="Prrafodelista"/>
        <w:numPr>
          <w:ilvl w:val="0"/>
          <w:numId w:val="8"/>
        </w:numPr>
        <w:spacing w:after="0" w:line="360" w:lineRule="auto"/>
        <w:jc w:val="both"/>
        <w:rPr>
          <w:rFonts w:ascii="Palatino Linotype" w:eastAsia="Times New Roman" w:hAnsi="Palatino Linotype" w:cs="Arial"/>
          <w:color w:val="222222"/>
          <w:sz w:val="24"/>
          <w:szCs w:val="24"/>
          <w:lang w:val="es-ES" w:eastAsia="es-MX"/>
        </w:rPr>
      </w:pPr>
      <w:r w:rsidRPr="008363D2">
        <w:rPr>
          <w:rFonts w:ascii="Palatino Linotype" w:eastAsia="Times New Roman" w:hAnsi="Palatino Linotype" w:cs="Arial"/>
          <w:color w:val="222222"/>
          <w:sz w:val="24"/>
          <w:szCs w:val="24"/>
          <w:lang w:val="es-ES" w:eastAsia="es-MX"/>
        </w:rPr>
        <w:t xml:space="preserve">Al respecto, </w:t>
      </w:r>
      <w:r w:rsidR="00FA4BCC">
        <w:rPr>
          <w:rFonts w:ascii="Palatino Linotype" w:eastAsia="Times New Roman" w:hAnsi="Palatino Linotype" w:cs="Arial"/>
          <w:color w:val="222222"/>
          <w:sz w:val="24"/>
          <w:szCs w:val="24"/>
          <w:lang w:val="es-ES" w:eastAsia="es-MX"/>
        </w:rPr>
        <w:t>no se está de acuerdo en la reserva de la información en virtud de que el Instituto Nacional de Transparencia, Acceso a la Información y Protección de Datos Personales (INAI), se ha pronunciado al respecto, refiriendo que los Lineamientos Generales en Materia de Clasificación y Desclasificación de la Información así como para la elaboración de versiones públicas</w:t>
      </w:r>
      <w:r w:rsidR="00202856">
        <w:rPr>
          <w:rFonts w:ascii="Palatino Linotype" w:eastAsia="Times New Roman" w:hAnsi="Palatino Linotype" w:cs="Arial"/>
          <w:color w:val="222222"/>
          <w:sz w:val="24"/>
          <w:szCs w:val="24"/>
          <w:lang w:val="es-ES" w:eastAsia="es-MX"/>
        </w:rPr>
        <w:t>, el cual es aplicable al caso concreto, establece lo siguiente:</w:t>
      </w:r>
    </w:p>
    <w:p w:rsidR="003841A6" w:rsidRDefault="003841A6" w:rsidP="003841A6">
      <w:pPr>
        <w:pStyle w:val="Prrafodelista"/>
        <w:spacing w:after="0" w:line="360" w:lineRule="auto"/>
        <w:ind w:left="360"/>
        <w:jc w:val="both"/>
        <w:rPr>
          <w:rFonts w:ascii="Palatino Linotype" w:eastAsia="Times New Roman" w:hAnsi="Palatino Linotype" w:cs="Arial"/>
          <w:color w:val="222222"/>
          <w:sz w:val="24"/>
          <w:szCs w:val="24"/>
          <w:lang w:val="es-ES" w:eastAsia="es-MX"/>
        </w:rPr>
      </w:pPr>
    </w:p>
    <w:p w:rsidR="00202856" w:rsidRPr="00202856" w:rsidRDefault="00202856" w:rsidP="00202856">
      <w:pPr>
        <w:pStyle w:val="Prrafodelista"/>
        <w:spacing w:after="0" w:line="360" w:lineRule="auto"/>
        <w:ind w:left="851" w:right="474"/>
        <w:jc w:val="both"/>
        <w:rPr>
          <w:rFonts w:ascii="Palatino Linotype" w:eastAsia="Times New Roman" w:hAnsi="Palatino Linotype" w:cs="Arial"/>
          <w:i/>
          <w:color w:val="222222"/>
          <w:sz w:val="24"/>
          <w:szCs w:val="24"/>
          <w:lang w:val="es-ES" w:eastAsia="es-MX"/>
        </w:rPr>
      </w:pPr>
      <w:r w:rsidRPr="00202856">
        <w:rPr>
          <w:rFonts w:ascii="Palatino Linotype" w:eastAsia="Times New Roman" w:hAnsi="Palatino Linotype" w:cs="Arial"/>
          <w:i/>
          <w:color w:val="222222"/>
          <w:sz w:val="24"/>
          <w:szCs w:val="24"/>
          <w:lang w:val="es-ES" w:eastAsia="es-MX"/>
        </w:rPr>
        <w:t>“</w:t>
      </w:r>
      <w:r w:rsidRPr="00202856">
        <w:rPr>
          <w:rFonts w:ascii="Palatino Linotype" w:eastAsia="Times New Roman" w:hAnsi="Palatino Linotype" w:cs="Arial"/>
          <w:b/>
          <w:i/>
          <w:color w:val="222222"/>
          <w:sz w:val="24"/>
          <w:szCs w:val="24"/>
          <w:lang w:val="es-ES" w:eastAsia="es-MX"/>
        </w:rPr>
        <w:t>Trigésimo.</w:t>
      </w:r>
      <w:r w:rsidRPr="00202856">
        <w:rPr>
          <w:rFonts w:ascii="Palatino Linotype" w:eastAsia="Times New Roman" w:hAnsi="Palatino Linotype" w:cs="Arial"/>
          <w:i/>
          <w:color w:val="222222"/>
          <w:sz w:val="24"/>
          <w:szCs w:val="24"/>
          <w:lang w:val="es-ES" w:eastAsia="es-MX"/>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w:t>
      </w:r>
    </w:p>
    <w:p w:rsidR="00202856" w:rsidRPr="00202856" w:rsidRDefault="00202856" w:rsidP="00202856">
      <w:pPr>
        <w:pStyle w:val="Prrafodelista"/>
        <w:spacing w:after="0" w:line="360" w:lineRule="auto"/>
        <w:ind w:left="851" w:right="474"/>
        <w:jc w:val="both"/>
        <w:rPr>
          <w:rFonts w:ascii="Palatino Linotype" w:eastAsia="Times New Roman" w:hAnsi="Palatino Linotype" w:cs="Arial"/>
          <w:i/>
          <w:color w:val="222222"/>
          <w:sz w:val="24"/>
          <w:szCs w:val="24"/>
          <w:lang w:val="es-ES" w:eastAsia="es-MX"/>
        </w:rPr>
      </w:pPr>
      <w:r w:rsidRPr="00202856">
        <w:rPr>
          <w:rFonts w:ascii="Palatino Linotype" w:eastAsia="Times New Roman" w:hAnsi="Palatino Linotype" w:cs="Arial"/>
          <w:i/>
          <w:color w:val="222222"/>
          <w:sz w:val="24"/>
          <w:szCs w:val="24"/>
          <w:lang w:val="es-ES" w:eastAsia="es-MX"/>
        </w:rPr>
        <w:t>I. La existencia de un juicio o procedimiento administrativo materialmente jurisdiccional, que se encuentre en trámite, y</w:t>
      </w:r>
    </w:p>
    <w:p w:rsidR="00202856" w:rsidRDefault="00202856" w:rsidP="00202856">
      <w:pPr>
        <w:pStyle w:val="Prrafodelista"/>
        <w:spacing w:after="0" w:line="360" w:lineRule="auto"/>
        <w:ind w:left="851" w:right="474"/>
        <w:jc w:val="both"/>
        <w:rPr>
          <w:rFonts w:ascii="Palatino Linotype" w:eastAsia="Times New Roman" w:hAnsi="Palatino Linotype" w:cs="Arial"/>
          <w:i/>
          <w:color w:val="222222"/>
          <w:sz w:val="24"/>
          <w:szCs w:val="24"/>
          <w:lang w:val="es-ES" w:eastAsia="es-MX"/>
        </w:rPr>
      </w:pPr>
      <w:r w:rsidRPr="00202856">
        <w:rPr>
          <w:rFonts w:ascii="Palatino Linotype" w:eastAsia="Times New Roman" w:hAnsi="Palatino Linotype" w:cs="Arial"/>
          <w:i/>
          <w:color w:val="222222"/>
          <w:sz w:val="24"/>
          <w:szCs w:val="24"/>
          <w:lang w:val="es-ES" w:eastAsia="es-MX"/>
        </w:rPr>
        <w:t>II. Que la información solicitada se refiera a actuaciones, diligencias o constancias propias del procedimiento.</w:t>
      </w:r>
      <w:r>
        <w:rPr>
          <w:rFonts w:ascii="Palatino Linotype" w:eastAsia="Times New Roman" w:hAnsi="Palatino Linotype" w:cs="Arial"/>
          <w:i/>
          <w:color w:val="222222"/>
          <w:sz w:val="24"/>
          <w:szCs w:val="24"/>
          <w:lang w:val="es-ES" w:eastAsia="es-MX"/>
        </w:rPr>
        <w:t>”</w:t>
      </w:r>
    </w:p>
    <w:p w:rsidR="00202856" w:rsidRPr="00202856" w:rsidRDefault="00202856" w:rsidP="00202856">
      <w:pPr>
        <w:pStyle w:val="Prrafodelista"/>
        <w:spacing w:after="0" w:line="360" w:lineRule="auto"/>
        <w:ind w:left="851" w:right="474"/>
        <w:jc w:val="both"/>
        <w:rPr>
          <w:rFonts w:ascii="Palatino Linotype" w:eastAsia="Times New Roman" w:hAnsi="Palatino Linotype" w:cs="Arial"/>
          <w:i/>
          <w:color w:val="222222"/>
          <w:sz w:val="24"/>
          <w:szCs w:val="24"/>
          <w:lang w:val="es-ES" w:eastAsia="es-MX"/>
        </w:rPr>
      </w:pPr>
    </w:p>
    <w:p w:rsidR="00FA4BCC" w:rsidRDefault="00202856" w:rsidP="00C760CB">
      <w:pPr>
        <w:pStyle w:val="Prrafodelista"/>
        <w:numPr>
          <w:ilvl w:val="0"/>
          <w:numId w:val="8"/>
        </w:numPr>
        <w:spacing w:after="0" w:line="360" w:lineRule="auto"/>
        <w:jc w:val="both"/>
        <w:rPr>
          <w:rFonts w:ascii="Palatino Linotype" w:eastAsia="Times New Roman" w:hAnsi="Palatino Linotype" w:cs="Arial"/>
          <w:color w:val="222222"/>
          <w:sz w:val="24"/>
          <w:szCs w:val="24"/>
          <w:lang w:val="es-ES" w:eastAsia="es-MX"/>
        </w:rPr>
      </w:pPr>
      <w:r>
        <w:rPr>
          <w:rFonts w:ascii="Palatino Linotype" w:eastAsia="Times New Roman" w:hAnsi="Palatino Linotype" w:cs="Arial"/>
          <w:color w:val="222222"/>
          <w:sz w:val="24"/>
          <w:szCs w:val="24"/>
          <w:lang w:val="es-ES" w:eastAsia="es-MX"/>
        </w:rPr>
        <w:lastRenderedPageBreak/>
        <w:t>En virtud, que para invocar la causal de reserva aludida la información que se solicita debe vulnerar la conducción de los expedientes judiciales o de los procedimientos administrativos seguidos en forma de juicio, siempre y cuando se acrediten los siguientes elementos:</w:t>
      </w:r>
    </w:p>
    <w:p w:rsidR="00202856" w:rsidRDefault="00202856" w:rsidP="00202856">
      <w:pPr>
        <w:pStyle w:val="Prrafodelista"/>
        <w:spacing w:after="0" w:line="360" w:lineRule="auto"/>
        <w:ind w:left="360"/>
        <w:jc w:val="both"/>
        <w:rPr>
          <w:rFonts w:ascii="Palatino Linotype" w:eastAsia="Times New Roman" w:hAnsi="Palatino Linotype" w:cs="Arial"/>
          <w:color w:val="222222"/>
          <w:sz w:val="24"/>
          <w:szCs w:val="24"/>
          <w:lang w:val="es-ES" w:eastAsia="es-MX"/>
        </w:rPr>
      </w:pPr>
    </w:p>
    <w:p w:rsidR="00202856" w:rsidRDefault="00202856" w:rsidP="00202856">
      <w:pPr>
        <w:pStyle w:val="Prrafodelista"/>
        <w:numPr>
          <w:ilvl w:val="0"/>
          <w:numId w:val="14"/>
        </w:numPr>
        <w:spacing w:after="0" w:line="360" w:lineRule="auto"/>
        <w:jc w:val="both"/>
        <w:rPr>
          <w:rFonts w:ascii="Palatino Linotype" w:eastAsia="Times New Roman" w:hAnsi="Palatino Linotype" w:cs="Arial"/>
          <w:color w:val="222222"/>
          <w:sz w:val="24"/>
          <w:szCs w:val="24"/>
          <w:lang w:val="es-ES" w:eastAsia="es-MX"/>
        </w:rPr>
      </w:pPr>
      <w:r>
        <w:rPr>
          <w:rFonts w:ascii="Palatino Linotype" w:eastAsia="Times New Roman" w:hAnsi="Palatino Linotype" w:cs="Arial"/>
          <w:color w:val="222222"/>
          <w:sz w:val="24"/>
          <w:szCs w:val="24"/>
          <w:lang w:val="es-ES" w:eastAsia="es-MX"/>
        </w:rPr>
        <w:t>La existencia de un juicio o procedimiento administrativo materialmente jurisdiccional, que se encuentre en trámite, y</w:t>
      </w:r>
    </w:p>
    <w:p w:rsidR="00202856" w:rsidRDefault="00202856" w:rsidP="00202856">
      <w:pPr>
        <w:pStyle w:val="Prrafodelista"/>
        <w:spacing w:after="0" w:line="360" w:lineRule="auto"/>
        <w:ind w:left="360"/>
        <w:jc w:val="both"/>
        <w:rPr>
          <w:rFonts w:ascii="Palatino Linotype" w:eastAsia="Times New Roman" w:hAnsi="Palatino Linotype" w:cs="Arial"/>
          <w:color w:val="222222"/>
          <w:sz w:val="24"/>
          <w:szCs w:val="24"/>
          <w:lang w:val="es-ES" w:eastAsia="es-MX"/>
        </w:rPr>
      </w:pPr>
    </w:p>
    <w:p w:rsidR="00202856" w:rsidRDefault="00202856" w:rsidP="00202856">
      <w:pPr>
        <w:pStyle w:val="Prrafodelista"/>
        <w:numPr>
          <w:ilvl w:val="0"/>
          <w:numId w:val="14"/>
        </w:numPr>
        <w:spacing w:after="0" w:line="360" w:lineRule="auto"/>
        <w:jc w:val="both"/>
        <w:rPr>
          <w:rFonts w:ascii="Palatino Linotype" w:eastAsia="Times New Roman" w:hAnsi="Palatino Linotype" w:cs="Arial"/>
          <w:color w:val="222222"/>
          <w:sz w:val="24"/>
          <w:szCs w:val="24"/>
          <w:lang w:val="es-ES" w:eastAsia="es-MX"/>
        </w:rPr>
      </w:pPr>
      <w:r>
        <w:rPr>
          <w:rFonts w:ascii="Palatino Linotype" w:eastAsia="Times New Roman" w:hAnsi="Palatino Linotype" w:cs="Arial"/>
          <w:color w:val="222222"/>
          <w:sz w:val="24"/>
          <w:szCs w:val="24"/>
          <w:lang w:val="es-ES" w:eastAsia="es-MX"/>
        </w:rPr>
        <w:t>Que la información solicitada se refiera a actuaciones, diligencias o constancias propias de dicho procedimiento.</w:t>
      </w:r>
    </w:p>
    <w:p w:rsidR="00202856" w:rsidRPr="00202856" w:rsidRDefault="00202856" w:rsidP="00202856">
      <w:pPr>
        <w:spacing w:after="0" w:line="360" w:lineRule="auto"/>
        <w:jc w:val="both"/>
        <w:rPr>
          <w:rFonts w:ascii="Palatino Linotype" w:eastAsia="Times New Roman" w:hAnsi="Palatino Linotype" w:cs="Arial"/>
          <w:color w:val="222222"/>
          <w:sz w:val="24"/>
          <w:szCs w:val="24"/>
          <w:lang w:val="es-ES" w:eastAsia="es-MX"/>
        </w:rPr>
      </w:pPr>
    </w:p>
    <w:p w:rsidR="00202856" w:rsidRDefault="00202856" w:rsidP="00C760CB">
      <w:pPr>
        <w:pStyle w:val="Prrafodelista"/>
        <w:numPr>
          <w:ilvl w:val="0"/>
          <w:numId w:val="8"/>
        </w:numPr>
        <w:spacing w:after="0" w:line="360" w:lineRule="auto"/>
        <w:jc w:val="both"/>
        <w:rPr>
          <w:rFonts w:ascii="Palatino Linotype" w:eastAsia="Times New Roman" w:hAnsi="Palatino Linotype" w:cs="Arial"/>
          <w:color w:val="222222"/>
          <w:sz w:val="24"/>
          <w:szCs w:val="24"/>
          <w:lang w:val="es-ES" w:eastAsia="es-MX"/>
        </w:rPr>
      </w:pPr>
      <w:r>
        <w:rPr>
          <w:rFonts w:ascii="Palatino Linotype" w:eastAsia="Times New Roman" w:hAnsi="Palatino Linotype" w:cs="Arial"/>
          <w:color w:val="222222"/>
          <w:sz w:val="24"/>
          <w:szCs w:val="24"/>
          <w:lang w:val="es-ES" w:eastAsia="es-MX"/>
        </w:rPr>
        <w:t>De lo anterior, se desprende</w:t>
      </w:r>
      <w:r w:rsidR="006F225F">
        <w:rPr>
          <w:rFonts w:ascii="Palatino Linotype" w:eastAsia="Times New Roman" w:hAnsi="Palatino Linotype" w:cs="Arial"/>
          <w:color w:val="222222"/>
          <w:sz w:val="24"/>
          <w:szCs w:val="24"/>
          <w:lang w:val="es-ES" w:eastAsia="es-MX"/>
        </w:rPr>
        <w:t xml:space="preserve"> que la información susceptible de clasificarse como reservada, es aquella cuya difusión </w:t>
      </w:r>
      <w:r w:rsidR="006F225F" w:rsidRPr="006F225F">
        <w:rPr>
          <w:rFonts w:ascii="Palatino Linotype" w:eastAsia="Times New Roman" w:hAnsi="Palatino Linotype" w:cs="Arial"/>
          <w:b/>
          <w:color w:val="222222"/>
          <w:sz w:val="24"/>
          <w:szCs w:val="24"/>
          <w:lang w:val="es-ES" w:eastAsia="es-MX"/>
        </w:rPr>
        <w:t>vulnere la conducción de los expedientes judiciales</w:t>
      </w:r>
      <w:r w:rsidR="006F225F">
        <w:rPr>
          <w:rFonts w:ascii="Palatino Linotype" w:eastAsia="Times New Roman" w:hAnsi="Palatino Linotype" w:cs="Arial"/>
          <w:color w:val="222222"/>
          <w:sz w:val="24"/>
          <w:szCs w:val="24"/>
          <w:lang w:val="es-ES" w:eastAsia="es-MX"/>
        </w:rPr>
        <w:t xml:space="preserve"> o procedimientos administrativos en forma de juicio, en tanto no hayan causado estado y que refiera a actuaciones, diligencias o constancias propias de dicho procedimiento.</w:t>
      </w:r>
    </w:p>
    <w:p w:rsidR="006F225F" w:rsidRDefault="006F225F" w:rsidP="006F225F">
      <w:pPr>
        <w:pStyle w:val="Prrafodelista"/>
        <w:spacing w:after="0" w:line="360" w:lineRule="auto"/>
        <w:ind w:left="360"/>
        <w:jc w:val="both"/>
        <w:rPr>
          <w:rFonts w:ascii="Palatino Linotype" w:eastAsia="Times New Roman" w:hAnsi="Palatino Linotype" w:cs="Arial"/>
          <w:color w:val="222222"/>
          <w:sz w:val="24"/>
          <w:szCs w:val="24"/>
          <w:lang w:val="es-ES" w:eastAsia="es-MX"/>
        </w:rPr>
      </w:pPr>
    </w:p>
    <w:p w:rsidR="006F225F" w:rsidRDefault="006F225F" w:rsidP="00C760CB">
      <w:pPr>
        <w:pStyle w:val="Prrafodelista"/>
        <w:numPr>
          <w:ilvl w:val="0"/>
          <w:numId w:val="8"/>
        </w:numPr>
        <w:spacing w:after="0" w:line="360" w:lineRule="auto"/>
        <w:jc w:val="both"/>
        <w:rPr>
          <w:rFonts w:ascii="Palatino Linotype" w:eastAsia="Times New Roman" w:hAnsi="Palatino Linotype" w:cs="Arial"/>
          <w:color w:val="222222"/>
          <w:sz w:val="24"/>
          <w:szCs w:val="24"/>
          <w:lang w:val="es-ES" w:eastAsia="es-MX"/>
        </w:rPr>
      </w:pPr>
      <w:r>
        <w:rPr>
          <w:rFonts w:ascii="Palatino Linotype" w:eastAsia="Times New Roman" w:hAnsi="Palatino Linotype" w:cs="Arial"/>
          <w:color w:val="222222"/>
          <w:sz w:val="24"/>
          <w:szCs w:val="24"/>
          <w:lang w:val="es-ES" w:eastAsia="es-MX"/>
        </w:rPr>
        <w:t>En el presente caso, para acreditar la reserva referida, es necesario que se actualicen los siguientes requisitos:</w:t>
      </w:r>
    </w:p>
    <w:p w:rsidR="006F225F" w:rsidRPr="006F225F" w:rsidRDefault="006F225F" w:rsidP="006F225F">
      <w:pPr>
        <w:pStyle w:val="Prrafodelista"/>
        <w:rPr>
          <w:rFonts w:ascii="Palatino Linotype" w:eastAsia="Times New Roman" w:hAnsi="Palatino Linotype" w:cs="Arial"/>
          <w:color w:val="222222"/>
          <w:sz w:val="24"/>
          <w:szCs w:val="24"/>
          <w:lang w:val="es-ES" w:eastAsia="es-MX"/>
        </w:rPr>
      </w:pPr>
    </w:p>
    <w:p w:rsidR="006F225F" w:rsidRDefault="006F225F" w:rsidP="00752E9D">
      <w:pPr>
        <w:pStyle w:val="Prrafodelista"/>
        <w:numPr>
          <w:ilvl w:val="0"/>
          <w:numId w:val="15"/>
        </w:numPr>
        <w:spacing w:after="0" w:line="360" w:lineRule="auto"/>
        <w:jc w:val="both"/>
        <w:rPr>
          <w:rFonts w:ascii="Palatino Linotype" w:eastAsia="Times New Roman" w:hAnsi="Palatino Linotype" w:cs="Arial"/>
          <w:color w:val="222222"/>
          <w:sz w:val="24"/>
          <w:szCs w:val="24"/>
          <w:lang w:val="es-ES" w:eastAsia="es-MX"/>
        </w:rPr>
      </w:pPr>
      <w:r>
        <w:rPr>
          <w:rFonts w:ascii="Palatino Linotype" w:eastAsia="Times New Roman" w:hAnsi="Palatino Linotype" w:cs="Arial"/>
          <w:color w:val="222222"/>
          <w:sz w:val="24"/>
          <w:szCs w:val="24"/>
          <w:lang w:val="es-ES" w:eastAsia="es-MX"/>
        </w:rPr>
        <w:t>La existencia de un juicio o procedimiento administrativo materialmente jurisdiccional.</w:t>
      </w:r>
    </w:p>
    <w:p w:rsidR="006F225F" w:rsidRDefault="006F225F" w:rsidP="00752E9D">
      <w:pPr>
        <w:pStyle w:val="Prrafodelista"/>
        <w:numPr>
          <w:ilvl w:val="0"/>
          <w:numId w:val="15"/>
        </w:numPr>
        <w:spacing w:after="0" w:line="360" w:lineRule="auto"/>
        <w:jc w:val="both"/>
        <w:rPr>
          <w:rFonts w:ascii="Palatino Linotype" w:eastAsia="Times New Roman" w:hAnsi="Palatino Linotype" w:cs="Arial"/>
          <w:color w:val="222222"/>
          <w:sz w:val="24"/>
          <w:szCs w:val="24"/>
          <w:lang w:val="es-ES" w:eastAsia="es-MX"/>
        </w:rPr>
      </w:pPr>
      <w:r>
        <w:rPr>
          <w:rFonts w:ascii="Palatino Linotype" w:eastAsia="Times New Roman" w:hAnsi="Palatino Linotype" w:cs="Arial"/>
          <w:color w:val="222222"/>
          <w:sz w:val="24"/>
          <w:szCs w:val="24"/>
          <w:lang w:val="es-ES" w:eastAsia="es-MX"/>
        </w:rPr>
        <w:lastRenderedPageBreak/>
        <w:t>Que el juicio se encuentre en trámite</w:t>
      </w:r>
      <w:r w:rsidR="00752E9D">
        <w:rPr>
          <w:rFonts w:ascii="Palatino Linotype" w:eastAsia="Times New Roman" w:hAnsi="Palatino Linotype" w:cs="Arial"/>
          <w:color w:val="222222"/>
          <w:sz w:val="24"/>
          <w:szCs w:val="24"/>
          <w:lang w:val="es-ES" w:eastAsia="es-MX"/>
        </w:rPr>
        <w:t>;</w:t>
      </w:r>
      <w:r>
        <w:rPr>
          <w:rFonts w:ascii="Palatino Linotype" w:eastAsia="Times New Roman" w:hAnsi="Palatino Linotype" w:cs="Arial"/>
          <w:color w:val="222222"/>
          <w:sz w:val="24"/>
          <w:szCs w:val="24"/>
          <w:lang w:val="es-ES" w:eastAsia="es-MX"/>
        </w:rPr>
        <w:t xml:space="preserve"> es decir, que no haya causado estado.</w:t>
      </w:r>
    </w:p>
    <w:p w:rsidR="00752E9D" w:rsidRDefault="006F225F" w:rsidP="00752E9D">
      <w:pPr>
        <w:pStyle w:val="Prrafodelista"/>
        <w:numPr>
          <w:ilvl w:val="0"/>
          <w:numId w:val="15"/>
        </w:numPr>
        <w:spacing w:after="0" w:line="360" w:lineRule="auto"/>
        <w:jc w:val="both"/>
        <w:rPr>
          <w:rFonts w:ascii="Palatino Linotype" w:eastAsia="Times New Roman" w:hAnsi="Palatino Linotype" w:cs="Arial"/>
          <w:color w:val="222222"/>
          <w:sz w:val="24"/>
          <w:szCs w:val="24"/>
          <w:lang w:val="es-ES" w:eastAsia="es-MX"/>
        </w:rPr>
      </w:pPr>
      <w:r>
        <w:rPr>
          <w:rFonts w:ascii="Palatino Linotype" w:eastAsia="Times New Roman" w:hAnsi="Palatino Linotype" w:cs="Arial"/>
          <w:color w:val="222222"/>
          <w:sz w:val="24"/>
          <w:szCs w:val="24"/>
          <w:lang w:val="es-ES" w:eastAsia="es-MX"/>
        </w:rPr>
        <w:t>El vínculo entre la información</w:t>
      </w:r>
      <w:r w:rsidR="00752E9D">
        <w:rPr>
          <w:rFonts w:ascii="Palatino Linotype" w:eastAsia="Times New Roman" w:hAnsi="Palatino Linotype" w:cs="Arial"/>
          <w:color w:val="222222"/>
          <w:sz w:val="24"/>
          <w:szCs w:val="24"/>
          <w:lang w:val="es-ES" w:eastAsia="es-MX"/>
        </w:rPr>
        <w:t xml:space="preserve"> solicitada y el procedimiento judicial de que se trate.</w:t>
      </w:r>
    </w:p>
    <w:p w:rsidR="006F225F" w:rsidRDefault="00752E9D" w:rsidP="00752E9D">
      <w:pPr>
        <w:pStyle w:val="Prrafodelista"/>
        <w:numPr>
          <w:ilvl w:val="0"/>
          <w:numId w:val="15"/>
        </w:numPr>
        <w:spacing w:after="0" w:line="360" w:lineRule="auto"/>
        <w:jc w:val="both"/>
        <w:rPr>
          <w:rFonts w:ascii="Palatino Linotype" w:eastAsia="Times New Roman" w:hAnsi="Palatino Linotype" w:cs="Arial"/>
          <w:color w:val="222222"/>
          <w:sz w:val="24"/>
          <w:szCs w:val="24"/>
          <w:lang w:val="es-ES" w:eastAsia="es-MX"/>
        </w:rPr>
      </w:pPr>
      <w:r>
        <w:rPr>
          <w:rFonts w:ascii="Palatino Linotype" w:eastAsia="Times New Roman" w:hAnsi="Palatino Linotype" w:cs="Arial"/>
          <w:color w:val="222222"/>
          <w:sz w:val="24"/>
          <w:szCs w:val="24"/>
          <w:lang w:val="es-ES" w:eastAsia="es-MX"/>
        </w:rPr>
        <w:t>Que la difusión de la información pueda causar daño y/o perjuicio a las atribuciones del Tribunal durante el juicio; es decir, que el contenido de la</w:t>
      </w:r>
      <w:r w:rsidR="006F225F">
        <w:rPr>
          <w:rFonts w:ascii="Palatino Linotype" w:eastAsia="Times New Roman" w:hAnsi="Palatino Linotype" w:cs="Arial"/>
          <w:color w:val="222222"/>
          <w:sz w:val="24"/>
          <w:szCs w:val="24"/>
          <w:lang w:val="es-ES" w:eastAsia="es-MX"/>
        </w:rPr>
        <w:t xml:space="preserve"> </w:t>
      </w:r>
      <w:r>
        <w:rPr>
          <w:rFonts w:ascii="Palatino Linotype" w:eastAsia="Times New Roman" w:hAnsi="Palatino Linotype" w:cs="Arial"/>
          <w:color w:val="222222"/>
          <w:sz w:val="24"/>
          <w:szCs w:val="24"/>
          <w:lang w:val="es-ES" w:eastAsia="es-MX"/>
        </w:rPr>
        <w:t>información vulnere, impida u obstruya los procedimientos que se ventilan.</w:t>
      </w:r>
    </w:p>
    <w:p w:rsidR="00752E9D" w:rsidRPr="006F225F" w:rsidRDefault="00752E9D" w:rsidP="00752E9D">
      <w:pPr>
        <w:pStyle w:val="Prrafodelista"/>
        <w:spacing w:after="0" w:line="360" w:lineRule="auto"/>
        <w:ind w:left="1080"/>
        <w:jc w:val="both"/>
        <w:rPr>
          <w:rFonts w:ascii="Palatino Linotype" w:eastAsia="Times New Roman" w:hAnsi="Palatino Linotype" w:cs="Arial"/>
          <w:color w:val="222222"/>
          <w:sz w:val="24"/>
          <w:szCs w:val="24"/>
          <w:lang w:val="es-ES" w:eastAsia="es-MX"/>
        </w:rPr>
      </w:pPr>
    </w:p>
    <w:p w:rsidR="00752E9D" w:rsidRDefault="00752E9D" w:rsidP="00C760CB">
      <w:pPr>
        <w:pStyle w:val="Prrafodelista"/>
        <w:numPr>
          <w:ilvl w:val="0"/>
          <w:numId w:val="8"/>
        </w:numPr>
        <w:spacing w:after="0" w:line="360" w:lineRule="auto"/>
        <w:jc w:val="both"/>
        <w:rPr>
          <w:rFonts w:ascii="Palatino Linotype" w:eastAsia="Times New Roman" w:hAnsi="Palatino Linotype" w:cs="Arial"/>
          <w:color w:val="222222"/>
          <w:sz w:val="24"/>
          <w:szCs w:val="24"/>
          <w:lang w:val="es-ES" w:eastAsia="es-MX"/>
        </w:rPr>
      </w:pPr>
      <w:r>
        <w:rPr>
          <w:rFonts w:ascii="Palatino Linotype" w:eastAsia="Times New Roman" w:hAnsi="Palatino Linotype" w:cs="Arial"/>
          <w:color w:val="222222"/>
          <w:sz w:val="24"/>
          <w:szCs w:val="24"/>
          <w:lang w:val="es-ES" w:eastAsia="es-MX"/>
        </w:rPr>
        <w:t>En ese sentido, el primero de los elementos se configura, toda vez que es evidente trata de un procedimiento jurisdiccional</w:t>
      </w:r>
      <w:r w:rsidR="009F7F63">
        <w:rPr>
          <w:rFonts w:ascii="Palatino Linotype" w:eastAsia="Times New Roman" w:hAnsi="Palatino Linotype" w:cs="Arial"/>
          <w:color w:val="222222"/>
          <w:sz w:val="24"/>
          <w:szCs w:val="24"/>
          <w:lang w:val="es-ES" w:eastAsia="es-MX"/>
        </w:rPr>
        <w:t xml:space="preserve">. Del segundo supuesto, también es </w:t>
      </w:r>
      <w:r w:rsidR="009F7F63" w:rsidRPr="00FB127E">
        <w:rPr>
          <w:rFonts w:ascii="Palatino Linotype" w:eastAsia="Times New Roman" w:hAnsi="Palatino Linotype" w:cs="Arial"/>
          <w:color w:val="222222"/>
          <w:sz w:val="24"/>
          <w:szCs w:val="24"/>
          <w:lang w:val="es-ES" w:eastAsia="es-MX"/>
        </w:rPr>
        <w:t xml:space="preserve">evidente ya no se encuentra pendiente de resolver pues es precisamente los laudos </w:t>
      </w:r>
      <w:r w:rsidR="00FB127E" w:rsidRPr="00FB127E">
        <w:rPr>
          <w:rFonts w:ascii="Palatino Linotype" w:eastAsia="Times New Roman" w:hAnsi="Palatino Linotype" w:cs="Arial"/>
          <w:color w:val="222222"/>
          <w:sz w:val="24"/>
          <w:szCs w:val="24"/>
          <w:lang w:val="es-ES" w:eastAsia="es-MX"/>
        </w:rPr>
        <w:t>la información que se requiere, y como tuvo a bien referir la propia Ponencia, se e</w:t>
      </w:r>
      <w:r w:rsidR="00FB127E" w:rsidRPr="00FB127E">
        <w:rPr>
          <w:rFonts w:ascii="Palatino Linotype" w:hAnsi="Palatino Linotype" w:cs="Arial"/>
          <w:sz w:val="24"/>
          <w:szCs w:val="24"/>
        </w:rPr>
        <w:t xml:space="preserve">entiende por </w:t>
      </w:r>
      <w:r w:rsidR="00FB127E" w:rsidRPr="00FB127E">
        <w:rPr>
          <w:rFonts w:ascii="Palatino Linotype" w:hAnsi="Palatino Linotype" w:cs="Arial"/>
          <w:b/>
          <w:sz w:val="24"/>
          <w:szCs w:val="24"/>
        </w:rPr>
        <w:t>“laudo”</w:t>
      </w:r>
      <w:r w:rsidR="00FB127E" w:rsidRPr="00FB127E">
        <w:rPr>
          <w:rFonts w:ascii="Palatino Linotype" w:hAnsi="Palatino Linotype" w:cs="Arial"/>
          <w:sz w:val="24"/>
          <w:szCs w:val="24"/>
        </w:rPr>
        <w:t xml:space="preserve"> a la </w:t>
      </w:r>
      <w:r w:rsidR="00FB127E" w:rsidRPr="00FB127E">
        <w:rPr>
          <w:rFonts w:ascii="Palatino Linotype" w:hAnsi="Palatino Linotype" w:cs="Arial"/>
          <w:b/>
          <w:sz w:val="24"/>
          <w:szCs w:val="24"/>
        </w:rPr>
        <w:t xml:space="preserve">resolución que en definitiva dicta el Tribunal Laboral </w:t>
      </w:r>
      <w:r w:rsidR="00FB127E" w:rsidRPr="00FB127E">
        <w:rPr>
          <w:rFonts w:ascii="Palatino Linotype" w:hAnsi="Palatino Linotype" w:cs="Arial"/>
          <w:sz w:val="24"/>
          <w:szCs w:val="24"/>
        </w:rPr>
        <w:t xml:space="preserve">para la </w:t>
      </w:r>
      <w:r w:rsidR="00FB127E" w:rsidRPr="00FB127E">
        <w:rPr>
          <w:rFonts w:ascii="Palatino Linotype" w:hAnsi="Palatino Linotype" w:cs="Arial"/>
          <w:b/>
          <w:sz w:val="24"/>
          <w:szCs w:val="24"/>
        </w:rPr>
        <w:t>conclusión del juicio de la materia</w:t>
      </w:r>
      <w:r w:rsidR="00FB127E">
        <w:rPr>
          <w:rFonts w:ascii="Palatino Linotype" w:eastAsia="Times New Roman" w:hAnsi="Palatino Linotype" w:cs="Arial"/>
          <w:color w:val="222222"/>
          <w:sz w:val="24"/>
          <w:szCs w:val="24"/>
          <w:lang w:val="es-ES" w:eastAsia="es-MX"/>
        </w:rPr>
        <w:t>.</w:t>
      </w:r>
    </w:p>
    <w:p w:rsidR="00FB127E" w:rsidRPr="00FB127E" w:rsidRDefault="00FB127E" w:rsidP="00FB127E">
      <w:pPr>
        <w:spacing w:after="0" w:line="360" w:lineRule="auto"/>
        <w:jc w:val="both"/>
        <w:rPr>
          <w:rFonts w:ascii="Palatino Linotype" w:eastAsia="Times New Roman" w:hAnsi="Palatino Linotype" w:cs="Arial"/>
          <w:color w:val="222222"/>
          <w:sz w:val="24"/>
          <w:szCs w:val="24"/>
          <w:lang w:val="es-ES" w:eastAsia="es-MX"/>
        </w:rPr>
      </w:pPr>
    </w:p>
    <w:p w:rsidR="00752E9D" w:rsidRDefault="00FB127E" w:rsidP="00C760CB">
      <w:pPr>
        <w:pStyle w:val="Prrafodelista"/>
        <w:numPr>
          <w:ilvl w:val="0"/>
          <w:numId w:val="8"/>
        </w:numPr>
        <w:spacing w:after="0" w:line="360" w:lineRule="auto"/>
        <w:jc w:val="both"/>
        <w:rPr>
          <w:rFonts w:ascii="Palatino Linotype" w:eastAsia="Times New Roman" w:hAnsi="Palatino Linotype" w:cs="Arial"/>
          <w:color w:val="222222"/>
          <w:sz w:val="24"/>
          <w:szCs w:val="24"/>
          <w:lang w:val="es-ES" w:eastAsia="es-MX"/>
        </w:rPr>
      </w:pPr>
      <w:r>
        <w:rPr>
          <w:rFonts w:ascii="Palatino Linotype" w:eastAsia="Times New Roman" w:hAnsi="Palatino Linotype" w:cs="Arial"/>
          <w:color w:val="222222"/>
          <w:sz w:val="24"/>
          <w:szCs w:val="24"/>
          <w:lang w:val="es-ES" w:eastAsia="es-MX"/>
        </w:rPr>
        <w:t xml:space="preserve">El tercer elemento, para que se actualice la causal de reserva invocada, a saber, que la información requerida sean actuaciones y diligencia propias del procedimiento; empero </w:t>
      </w:r>
      <w:r w:rsidR="00DB2094">
        <w:rPr>
          <w:rFonts w:ascii="Palatino Linotype" w:eastAsia="Times New Roman" w:hAnsi="Palatino Linotype" w:cs="Arial"/>
          <w:color w:val="222222"/>
          <w:sz w:val="24"/>
          <w:szCs w:val="24"/>
          <w:lang w:val="es-ES" w:eastAsia="es-MX"/>
        </w:rPr>
        <w:t>como también es evidente la información requerida refiere únicamente al laudo, no así a las actuaciones, diligencias o constancias propias del juicio.</w:t>
      </w:r>
    </w:p>
    <w:p w:rsidR="00DB2094" w:rsidRPr="00DB2094" w:rsidRDefault="00DB2094" w:rsidP="00DB2094">
      <w:pPr>
        <w:pStyle w:val="Prrafodelista"/>
        <w:rPr>
          <w:rFonts w:ascii="Palatino Linotype" w:eastAsia="Times New Roman" w:hAnsi="Palatino Linotype" w:cs="Arial"/>
          <w:color w:val="222222"/>
          <w:sz w:val="24"/>
          <w:szCs w:val="24"/>
          <w:lang w:val="es-ES" w:eastAsia="es-MX"/>
        </w:rPr>
      </w:pPr>
    </w:p>
    <w:p w:rsidR="00DB2094" w:rsidRDefault="00DB2094" w:rsidP="00DB2094">
      <w:pPr>
        <w:pStyle w:val="Prrafodelista"/>
        <w:numPr>
          <w:ilvl w:val="0"/>
          <w:numId w:val="8"/>
        </w:numPr>
        <w:spacing w:after="0" w:line="360" w:lineRule="auto"/>
        <w:jc w:val="both"/>
        <w:rPr>
          <w:rFonts w:ascii="Palatino Linotype" w:eastAsia="Times New Roman" w:hAnsi="Palatino Linotype" w:cs="Arial"/>
          <w:color w:val="222222"/>
          <w:sz w:val="24"/>
          <w:szCs w:val="24"/>
          <w:lang w:val="es-ES" w:eastAsia="es-MX"/>
        </w:rPr>
      </w:pPr>
      <w:r>
        <w:rPr>
          <w:rFonts w:ascii="Palatino Linotype" w:eastAsia="Times New Roman" w:hAnsi="Palatino Linotype" w:cs="Arial"/>
          <w:color w:val="222222"/>
          <w:sz w:val="24"/>
          <w:szCs w:val="24"/>
          <w:lang w:val="es-ES" w:eastAsia="es-MX"/>
        </w:rPr>
        <w:lastRenderedPageBreak/>
        <w:t>Por cuanto hace al último y cuarto elemento, no se actualiza, toda vez que la divulgación  de la información peticionada no causaría un daño y/o perjuicio a las atribuciones del Sujeto Obligado, tan es así que</w:t>
      </w:r>
      <w:r w:rsidRPr="00DB2094">
        <w:rPr>
          <w:rFonts w:ascii="Palatino Linotype" w:eastAsia="Times New Roman" w:hAnsi="Palatino Linotype" w:cs="Arial"/>
          <w:color w:val="222222"/>
          <w:sz w:val="24"/>
          <w:szCs w:val="24"/>
          <w:lang w:val="es-ES" w:eastAsia="es-MX"/>
        </w:rPr>
        <w:t xml:space="preserve"> se trata de una obligación de transparencia común, la cual deben los sujetos obligados poner a disposición del público de manera permanente y actualizada de forma sencilla, precisa y entendible, en los respectivos medios electrónicos, de acuerdo con sus facultades, atribuciones, funciones u objeto social, según corresponda, la información de conformidad con el </w:t>
      </w:r>
      <w:r w:rsidR="008224D9" w:rsidRPr="00DB2094">
        <w:rPr>
          <w:rFonts w:ascii="Palatino Linotype" w:eastAsia="Times New Roman" w:hAnsi="Palatino Linotype" w:cs="Arial"/>
          <w:color w:val="222222"/>
          <w:sz w:val="24"/>
          <w:szCs w:val="24"/>
          <w:lang w:val="es-ES" w:eastAsia="es-MX"/>
        </w:rPr>
        <w:t>artículo</w:t>
      </w:r>
      <w:r w:rsidRPr="00DB2094">
        <w:rPr>
          <w:rFonts w:ascii="Palatino Linotype" w:eastAsia="Times New Roman" w:hAnsi="Palatino Linotype" w:cs="Arial"/>
          <w:color w:val="222222"/>
          <w:sz w:val="24"/>
          <w:szCs w:val="24"/>
          <w:lang w:val="es-ES" w:eastAsia="es-MX"/>
        </w:rPr>
        <w:t xml:space="preserve"> 92 fracción XL de la Ley de la materia, como se aprecia:</w:t>
      </w:r>
    </w:p>
    <w:p w:rsidR="00DB2094" w:rsidRPr="00DB2094" w:rsidRDefault="003841A6" w:rsidP="00DB2094">
      <w:pPr>
        <w:pStyle w:val="Prrafodelista"/>
        <w:spacing w:after="0" w:line="360" w:lineRule="auto"/>
        <w:ind w:left="709" w:right="333"/>
        <w:jc w:val="both"/>
        <w:rPr>
          <w:rFonts w:ascii="Palatino Linotype" w:eastAsia="Times New Roman" w:hAnsi="Palatino Linotype" w:cs="Arial"/>
          <w:i/>
          <w:color w:val="222222"/>
          <w:sz w:val="24"/>
          <w:szCs w:val="24"/>
          <w:lang w:val="es-ES" w:eastAsia="es-MX"/>
        </w:rPr>
      </w:pPr>
      <w:r>
        <w:rPr>
          <w:rFonts w:ascii="Palatino Linotype" w:eastAsia="Times New Roman" w:hAnsi="Palatino Linotype" w:cs="Arial"/>
          <w:i/>
          <w:color w:val="222222"/>
          <w:sz w:val="24"/>
          <w:szCs w:val="24"/>
          <w:lang w:val="es-ES" w:eastAsia="es-MX"/>
        </w:rPr>
        <w:t>“</w:t>
      </w:r>
      <w:r w:rsidR="00DB2094" w:rsidRPr="00DB2094">
        <w:rPr>
          <w:rFonts w:ascii="Palatino Linotype" w:eastAsia="Times New Roman" w:hAnsi="Palatino Linotype" w:cs="Arial"/>
          <w:i/>
          <w:color w:val="222222"/>
          <w:sz w:val="24"/>
          <w:szCs w:val="24"/>
          <w:lang w:val="es-ES" w:eastAsia="es-MX"/>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B2094" w:rsidRPr="00DB2094" w:rsidRDefault="00DB2094" w:rsidP="00DB2094">
      <w:pPr>
        <w:pStyle w:val="Prrafodelista"/>
        <w:spacing w:after="0" w:line="360" w:lineRule="auto"/>
        <w:ind w:left="709" w:right="333"/>
        <w:jc w:val="both"/>
        <w:rPr>
          <w:rFonts w:ascii="Palatino Linotype" w:eastAsia="Times New Roman" w:hAnsi="Palatino Linotype" w:cs="Arial"/>
          <w:i/>
          <w:color w:val="222222"/>
          <w:sz w:val="24"/>
          <w:szCs w:val="24"/>
          <w:lang w:val="es-ES" w:eastAsia="es-MX"/>
        </w:rPr>
      </w:pPr>
      <w:r w:rsidRPr="00DB2094">
        <w:rPr>
          <w:rFonts w:ascii="Palatino Linotype" w:eastAsia="Times New Roman" w:hAnsi="Palatino Linotype" w:cs="Arial"/>
          <w:i/>
          <w:color w:val="222222"/>
          <w:sz w:val="24"/>
          <w:szCs w:val="24"/>
          <w:lang w:val="es-ES" w:eastAsia="es-MX"/>
        </w:rPr>
        <w:t>...</w:t>
      </w:r>
    </w:p>
    <w:p w:rsidR="00DB2094" w:rsidRPr="00DB2094" w:rsidRDefault="00DB2094" w:rsidP="00DB2094">
      <w:pPr>
        <w:pStyle w:val="Prrafodelista"/>
        <w:spacing w:after="0" w:line="360" w:lineRule="auto"/>
        <w:ind w:left="709" w:right="333"/>
        <w:jc w:val="both"/>
        <w:rPr>
          <w:rFonts w:ascii="Palatino Linotype" w:eastAsia="Times New Roman" w:hAnsi="Palatino Linotype" w:cs="Arial"/>
          <w:i/>
          <w:color w:val="222222"/>
          <w:sz w:val="24"/>
          <w:szCs w:val="24"/>
          <w:lang w:val="es-ES" w:eastAsia="es-MX"/>
        </w:rPr>
      </w:pPr>
      <w:r w:rsidRPr="00DB2094">
        <w:rPr>
          <w:rFonts w:ascii="Palatino Linotype" w:eastAsia="Times New Roman" w:hAnsi="Palatino Linotype" w:cs="Arial"/>
          <w:i/>
          <w:color w:val="222222"/>
          <w:sz w:val="24"/>
          <w:szCs w:val="24"/>
          <w:lang w:val="es-ES" w:eastAsia="es-MX"/>
        </w:rPr>
        <w:t>XL. Las resoluciones y laudos que se emitan en procesos o procedimientos seguidos en forma de juicio;</w:t>
      </w:r>
    </w:p>
    <w:p w:rsidR="00DB2094" w:rsidRDefault="00DB2094" w:rsidP="00DB2094">
      <w:pPr>
        <w:pStyle w:val="Prrafodelista"/>
        <w:spacing w:after="0" w:line="360" w:lineRule="auto"/>
        <w:ind w:left="709" w:right="333"/>
        <w:jc w:val="both"/>
        <w:rPr>
          <w:rFonts w:ascii="Palatino Linotype" w:eastAsia="Times New Roman" w:hAnsi="Palatino Linotype" w:cs="Arial"/>
          <w:i/>
          <w:color w:val="222222"/>
          <w:sz w:val="24"/>
          <w:szCs w:val="24"/>
          <w:lang w:val="es-ES" w:eastAsia="es-MX"/>
        </w:rPr>
      </w:pPr>
      <w:r w:rsidRPr="00DB2094">
        <w:rPr>
          <w:rFonts w:ascii="Palatino Linotype" w:eastAsia="Times New Roman" w:hAnsi="Palatino Linotype" w:cs="Arial"/>
          <w:i/>
          <w:color w:val="222222"/>
          <w:sz w:val="24"/>
          <w:szCs w:val="24"/>
          <w:lang w:val="es-ES" w:eastAsia="es-MX"/>
        </w:rPr>
        <w:t>...</w:t>
      </w:r>
      <w:r w:rsidR="003841A6">
        <w:rPr>
          <w:rFonts w:ascii="Palatino Linotype" w:eastAsia="Times New Roman" w:hAnsi="Palatino Linotype" w:cs="Arial"/>
          <w:i/>
          <w:color w:val="222222"/>
          <w:sz w:val="24"/>
          <w:szCs w:val="24"/>
          <w:lang w:val="es-ES" w:eastAsia="es-MX"/>
        </w:rPr>
        <w:t>”</w:t>
      </w:r>
    </w:p>
    <w:p w:rsidR="003841A6" w:rsidRPr="00DB2094" w:rsidRDefault="003841A6" w:rsidP="00DB2094">
      <w:pPr>
        <w:pStyle w:val="Prrafodelista"/>
        <w:spacing w:after="0" w:line="360" w:lineRule="auto"/>
        <w:ind w:left="709" w:right="333"/>
        <w:jc w:val="both"/>
        <w:rPr>
          <w:rFonts w:ascii="Palatino Linotype" w:eastAsia="Times New Roman" w:hAnsi="Palatino Linotype" w:cs="Arial"/>
          <w:i/>
          <w:color w:val="222222"/>
          <w:sz w:val="24"/>
          <w:szCs w:val="24"/>
          <w:lang w:val="es-ES" w:eastAsia="es-MX"/>
        </w:rPr>
      </w:pPr>
    </w:p>
    <w:p w:rsidR="00FB127E" w:rsidRDefault="00A7748C" w:rsidP="00C760CB">
      <w:pPr>
        <w:pStyle w:val="Prrafodelista"/>
        <w:numPr>
          <w:ilvl w:val="0"/>
          <w:numId w:val="8"/>
        </w:numPr>
        <w:spacing w:after="0" w:line="360" w:lineRule="auto"/>
        <w:jc w:val="both"/>
        <w:rPr>
          <w:rFonts w:ascii="Palatino Linotype" w:eastAsia="Times New Roman" w:hAnsi="Palatino Linotype" w:cs="Arial"/>
          <w:color w:val="222222"/>
          <w:sz w:val="24"/>
          <w:szCs w:val="24"/>
          <w:lang w:val="es-ES" w:eastAsia="es-MX"/>
        </w:rPr>
      </w:pPr>
      <w:r>
        <w:rPr>
          <w:rFonts w:ascii="Palatino Linotype" w:eastAsia="Times New Roman" w:hAnsi="Palatino Linotype" w:cs="Arial"/>
          <w:color w:val="222222"/>
          <w:sz w:val="24"/>
          <w:szCs w:val="24"/>
          <w:lang w:val="es-ES" w:eastAsia="es-MX"/>
        </w:rPr>
        <w:t xml:space="preserve">Lo anterior, aun y cuando no hayan causado estado, tal y como este propio </w:t>
      </w:r>
      <w:r w:rsidR="00673362">
        <w:rPr>
          <w:rFonts w:ascii="Palatino Linotype" w:eastAsia="Times New Roman" w:hAnsi="Palatino Linotype" w:cs="Arial"/>
          <w:color w:val="222222"/>
          <w:sz w:val="24"/>
          <w:szCs w:val="24"/>
          <w:lang w:val="es-ES" w:eastAsia="es-MX"/>
        </w:rPr>
        <w:t>Órgano</w:t>
      </w:r>
      <w:r>
        <w:rPr>
          <w:rFonts w:ascii="Palatino Linotype" w:eastAsia="Times New Roman" w:hAnsi="Palatino Linotype" w:cs="Arial"/>
          <w:color w:val="222222"/>
          <w:sz w:val="24"/>
          <w:szCs w:val="24"/>
          <w:lang w:val="es-ES" w:eastAsia="es-MX"/>
        </w:rPr>
        <w:t xml:space="preserve"> Garante hace con sus resoluciones </w:t>
      </w:r>
      <w:r w:rsidR="00673362">
        <w:rPr>
          <w:rFonts w:ascii="Palatino Linotype" w:eastAsia="Times New Roman" w:hAnsi="Palatino Linotype" w:cs="Arial"/>
          <w:color w:val="222222"/>
          <w:sz w:val="24"/>
          <w:szCs w:val="24"/>
          <w:lang w:val="es-ES" w:eastAsia="es-MX"/>
        </w:rPr>
        <w:t>al hacerlas públicas en el apartado destinado para tal efecto de nuestra página de Internet.</w:t>
      </w:r>
    </w:p>
    <w:p w:rsidR="00A7748C" w:rsidRDefault="00A7748C" w:rsidP="00A7748C">
      <w:pPr>
        <w:pStyle w:val="Prrafodelista"/>
        <w:spacing w:after="0" w:line="360" w:lineRule="auto"/>
        <w:ind w:left="360"/>
        <w:jc w:val="both"/>
        <w:rPr>
          <w:rFonts w:ascii="Palatino Linotype" w:eastAsia="Times New Roman" w:hAnsi="Palatino Linotype" w:cs="Arial"/>
          <w:color w:val="222222"/>
          <w:sz w:val="24"/>
          <w:szCs w:val="24"/>
          <w:lang w:val="es-ES" w:eastAsia="es-MX"/>
        </w:rPr>
      </w:pPr>
    </w:p>
    <w:p w:rsidR="006B4BC2" w:rsidRPr="003841A6" w:rsidRDefault="006B4BC2" w:rsidP="00640EBF">
      <w:pPr>
        <w:pStyle w:val="Prrafodelista"/>
        <w:numPr>
          <w:ilvl w:val="0"/>
          <w:numId w:val="8"/>
        </w:numPr>
        <w:spacing w:after="0" w:line="360" w:lineRule="auto"/>
        <w:jc w:val="both"/>
        <w:rPr>
          <w:rFonts w:ascii="Palatino Linotype" w:eastAsia="Times New Roman" w:hAnsi="Palatino Linotype" w:cs="Arial"/>
          <w:color w:val="222222"/>
          <w:sz w:val="24"/>
          <w:szCs w:val="24"/>
          <w:lang w:val="es-ES" w:eastAsia="es-MX"/>
        </w:rPr>
      </w:pPr>
      <w:r w:rsidRPr="006B4BC2">
        <w:rPr>
          <w:rFonts w:ascii="Palatino Linotype" w:eastAsia="Calibri" w:hAnsi="Palatino Linotype" w:cs="Arial"/>
          <w:sz w:val="24"/>
          <w:szCs w:val="24"/>
        </w:rPr>
        <w:t>En atención a lo anteriormente expuesto, considero que no se debió ordenar la reserva de la información por no actualizarse los supuestos, y en consecuencia ordenar los laudos de referencia, aun y cuando no hayan causado estado.</w:t>
      </w:r>
      <w:r>
        <w:rPr>
          <w:rFonts w:ascii="Palatino Linotype" w:eastAsia="Calibri" w:hAnsi="Palatino Linotype" w:cs="Arial"/>
          <w:sz w:val="24"/>
          <w:szCs w:val="24"/>
        </w:rPr>
        <w:t xml:space="preserve"> </w:t>
      </w:r>
    </w:p>
    <w:p w:rsidR="003841A6" w:rsidRPr="003841A6" w:rsidRDefault="003841A6" w:rsidP="003841A6">
      <w:pPr>
        <w:pStyle w:val="Prrafodelista"/>
        <w:rPr>
          <w:rFonts w:ascii="Palatino Linotype" w:eastAsia="Times New Roman" w:hAnsi="Palatino Linotype" w:cs="Arial"/>
          <w:color w:val="222222"/>
          <w:sz w:val="24"/>
          <w:szCs w:val="24"/>
          <w:lang w:val="es-ES" w:eastAsia="es-MX"/>
        </w:rPr>
      </w:pPr>
    </w:p>
    <w:p w:rsidR="00C760CB" w:rsidRPr="006B4BC2" w:rsidRDefault="006B4BC2" w:rsidP="00640EBF">
      <w:pPr>
        <w:pStyle w:val="Prrafodelista"/>
        <w:numPr>
          <w:ilvl w:val="0"/>
          <w:numId w:val="8"/>
        </w:numPr>
        <w:spacing w:after="0" w:line="360" w:lineRule="auto"/>
        <w:jc w:val="both"/>
        <w:rPr>
          <w:rFonts w:ascii="Palatino Linotype" w:eastAsia="Times New Roman" w:hAnsi="Palatino Linotype" w:cs="Arial"/>
          <w:color w:val="222222"/>
          <w:sz w:val="24"/>
          <w:szCs w:val="24"/>
          <w:lang w:val="es-ES" w:eastAsia="es-MX"/>
        </w:rPr>
      </w:pPr>
      <w:r>
        <w:rPr>
          <w:rFonts w:ascii="Palatino Linotype" w:eastAsia="Calibri" w:hAnsi="Palatino Linotype" w:cs="Arial"/>
          <w:sz w:val="24"/>
          <w:szCs w:val="24"/>
        </w:rPr>
        <w:t>Razón por la que concluyo refiriendo que n</w:t>
      </w:r>
      <w:r w:rsidR="00C760CB" w:rsidRPr="006B4BC2">
        <w:rPr>
          <w:rFonts w:ascii="Palatino Linotype" w:eastAsia="Calibri" w:hAnsi="Palatino Linotype" w:cs="Arial"/>
          <w:sz w:val="24"/>
          <w:szCs w:val="24"/>
        </w:rPr>
        <w:t xml:space="preserve">o hay que perder de vista que el reconocimiento de la fuerza de las resoluciones que emite este Órgano Garante en estos casos específicos consiste en la necesidad de otorgarles la fuerza suficiente a las decisiones que tutelan derechos humanos como mecanismos de control del poder, lo que desde luego forma parte de la justicia constitucional como bien refiere el Doctor </w:t>
      </w:r>
      <w:proofErr w:type="spellStart"/>
      <w:r w:rsidR="00C760CB" w:rsidRPr="006B4BC2">
        <w:rPr>
          <w:rFonts w:ascii="Palatino Linotype" w:eastAsia="Calibri" w:hAnsi="Palatino Linotype" w:cs="Arial"/>
          <w:sz w:val="24"/>
          <w:szCs w:val="24"/>
        </w:rPr>
        <w:t>Brewer</w:t>
      </w:r>
      <w:proofErr w:type="spellEnd"/>
      <w:r w:rsidR="00C760CB" w:rsidRPr="006B4BC2">
        <w:rPr>
          <w:rFonts w:ascii="Palatino Linotype" w:eastAsia="Calibri" w:hAnsi="Palatino Linotype" w:cs="Arial"/>
          <w:sz w:val="24"/>
          <w:szCs w:val="24"/>
        </w:rPr>
        <w:t xml:space="preserve"> Carías al señalar:</w:t>
      </w:r>
    </w:p>
    <w:p w:rsidR="00C760CB" w:rsidRPr="008363D2" w:rsidRDefault="00C760CB" w:rsidP="00D621A5">
      <w:pPr>
        <w:spacing w:after="0" w:line="240" w:lineRule="auto"/>
        <w:contextualSpacing/>
        <w:jc w:val="both"/>
        <w:rPr>
          <w:rFonts w:ascii="Palatino Linotype" w:eastAsia="Calibri" w:hAnsi="Palatino Linotype" w:cs="Arial"/>
          <w:sz w:val="24"/>
          <w:szCs w:val="24"/>
        </w:rPr>
      </w:pPr>
    </w:p>
    <w:p w:rsidR="00C760CB" w:rsidRPr="008363D2" w:rsidRDefault="003841A6" w:rsidP="00D621A5">
      <w:pPr>
        <w:spacing w:after="0" w:line="240" w:lineRule="auto"/>
        <w:ind w:left="567" w:right="616"/>
        <w:contextualSpacing/>
        <w:jc w:val="both"/>
        <w:rPr>
          <w:rFonts w:ascii="Palatino Linotype" w:eastAsia="Calibri" w:hAnsi="Palatino Linotype" w:cs="Arial"/>
          <w:i/>
          <w:sz w:val="24"/>
          <w:szCs w:val="24"/>
        </w:rPr>
      </w:pPr>
      <w:r>
        <w:rPr>
          <w:rFonts w:ascii="Palatino Linotype" w:eastAsia="Calibri" w:hAnsi="Palatino Linotype" w:cs="Arial"/>
          <w:i/>
          <w:sz w:val="24"/>
          <w:szCs w:val="24"/>
        </w:rPr>
        <w:t>“</w:t>
      </w:r>
      <w:r w:rsidR="00C760CB" w:rsidRPr="008363D2">
        <w:rPr>
          <w:rFonts w:ascii="Palatino Linotype" w:eastAsia="Calibri" w:hAnsi="Palatino Linotype" w:cs="Arial"/>
          <w:i/>
          <w:sz w:val="24"/>
          <w:szCs w:val="24"/>
        </w:rPr>
        <w:t>En otras palabras, para que pueda existir y funcionar efectivamente la democracia y se pueda asegurar realmente la protección de los derechos humanos y la supremacía constitucional mediante la justicia constitucional, se requiere de un marco constitucional que establezca y permita el control del poder, de manera que los diversos poderes del Estado puedan limitarse mutuamente y mediante su división y distribución, el poder pueda frenar al poder. Sólo en un sistema donde exista el control del poder puede haber garantía esencial de todos los valores de la propia democracia, como el respeto a la voluntad popular, la vigencia de los derechos humanos, el pluralismo político, la alternabilidad republicana o el Estado de derecho.</w:t>
      </w:r>
      <w:r w:rsidR="00C760CB" w:rsidRPr="008363D2">
        <w:rPr>
          <w:rFonts w:ascii="Palatino Linotype" w:eastAsia="Calibri" w:hAnsi="Palatino Linotype" w:cs="Arial"/>
          <w:i/>
          <w:sz w:val="24"/>
          <w:szCs w:val="24"/>
          <w:vertAlign w:val="superscript"/>
        </w:rPr>
        <w:footnoteReference w:id="1"/>
      </w:r>
      <w:r>
        <w:rPr>
          <w:rFonts w:ascii="Palatino Linotype" w:eastAsia="Calibri" w:hAnsi="Palatino Linotype" w:cs="Arial"/>
          <w:i/>
          <w:sz w:val="24"/>
          <w:szCs w:val="24"/>
        </w:rPr>
        <w:t>”</w:t>
      </w:r>
    </w:p>
    <w:p w:rsidR="00C760CB" w:rsidRPr="008363D2" w:rsidRDefault="00C760CB" w:rsidP="00C760CB">
      <w:pPr>
        <w:spacing w:after="0" w:line="360" w:lineRule="auto"/>
        <w:jc w:val="both"/>
        <w:rPr>
          <w:rFonts w:ascii="Palatino Linotype" w:eastAsia="Calibri" w:hAnsi="Palatino Linotype" w:cs="Arial"/>
          <w:sz w:val="24"/>
          <w:szCs w:val="24"/>
        </w:rPr>
      </w:pPr>
    </w:p>
    <w:p w:rsidR="00C760CB" w:rsidRDefault="00C760CB" w:rsidP="00C760CB">
      <w:pPr>
        <w:pStyle w:val="Prrafodelista"/>
        <w:numPr>
          <w:ilvl w:val="0"/>
          <w:numId w:val="8"/>
        </w:numPr>
        <w:spacing w:after="0" w:line="360" w:lineRule="auto"/>
        <w:jc w:val="both"/>
        <w:rPr>
          <w:rFonts w:ascii="Palatino Linotype" w:eastAsia="Calibri" w:hAnsi="Palatino Linotype" w:cs="Arial"/>
          <w:sz w:val="24"/>
          <w:szCs w:val="24"/>
        </w:rPr>
      </w:pPr>
      <w:r w:rsidRPr="008363D2">
        <w:rPr>
          <w:rFonts w:ascii="Palatino Linotype" w:eastAsia="Calibri" w:hAnsi="Palatino Linotype" w:cs="Arial"/>
          <w:sz w:val="24"/>
          <w:szCs w:val="24"/>
        </w:rPr>
        <w:lastRenderedPageBreak/>
        <w:t>Por lo que resulta perfectamente explicable que a pesar de que este Órgano Garante no sea plenamente jurisdiccional ni mucho menos forme parte del Tribunal Constitucional, la tutela asignada de un derecho humano como el de acceso a la información pública nos conduce a que las resoluciones emitidas, en los supuestos descritos antes, cuenten con esa condición de determinación firme, inatacable, vinculante y definitiva, ya que de lo que se trata es de poner remedio, de manera breve, expedita y plena, a las afectaciones al derecho en cuestión, siguiendo el mandato constitucional de reparar los derechos humanos vulnerados.</w:t>
      </w:r>
    </w:p>
    <w:p w:rsidR="003841A6" w:rsidRPr="008363D2" w:rsidRDefault="003841A6" w:rsidP="003841A6">
      <w:pPr>
        <w:pStyle w:val="Prrafodelista"/>
        <w:spacing w:after="0" w:line="360" w:lineRule="auto"/>
        <w:ind w:left="360"/>
        <w:jc w:val="both"/>
        <w:rPr>
          <w:rFonts w:ascii="Palatino Linotype" w:eastAsia="Calibri" w:hAnsi="Palatino Linotype" w:cs="Arial"/>
          <w:sz w:val="24"/>
          <w:szCs w:val="24"/>
        </w:rPr>
      </w:pPr>
    </w:p>
    <w:p w:rsidR="00C760CB" w:rsidRPr="006B4BC2" w:rsidRDefault="006B4BC2" w:rsidP="006B4BC2">
      <w:pPr>
        <w:pStyle w:val="Prrafodelista"/>
        <w:numPr>
          <w:ilvl w:val="0"/>
          <w:numId w:val="8"/>
        </w:numPr>
        <w:spacing w:after="0" w:line="360" w:lineRule="auto"/>
        <w:jc w:val="both"/>
        <w:rPr>
          <w:rFonts w:ascii="Palatino Linotype" w:hAnsi="Palatino Linotype" w:cs="Arial"/>
          <w:sz w:val="24"/>
          <w:szCs w:val="24"/>
        </w:rPr>
      </w:pPr>
      <w:r w:rsidRPr="006D6666">
        <w:rPr>
          <w:rFonts w:ascii="Palatino Linotype" w:hAnsi="Palatino Linotype" w:cs="Arial"/>
          <w:sz w:val="24"/>
          <w:szCs w:val="24"/>
        </w:rPr>
        <w:t xml:space="preserve">Adoptar la posición que propongo pretende ordenar un acto de plena certeza admisible en materia de protección del derecho humano lo que, considero, fortalece al Estado Constitucional de Derecho, en lugar de vulnerarlo. </w:t>
      </w:r>
    </w:p>
    <w:p w:rsidR="00C760CB" w:rsidRPr="008363D2" w:rsidRDefault="00C760CB" w:rsidP="00C760CB">
      <w:pPr>
        <w:pStyle w:val="Prrafodelista"/>
        <w:rPr>
          <w:rFonts w:ascii="Palatino Linotype" w:eastAsia="Calibri" w:hAnsi="Palatino Linotype" w:cs="Arial"/>
          <w:sz w:val="24"/>
          <w:szCs w:val="24"/>
        </w:rPr>
      </w:pPr>
    </w:p>
    <w:p w:rsidR="00C760CB" w:rsidRPr="008363D2" w:rsidRDefault="00C760CB" w:rsidP="00C760CB">
      <w:pPr>
        <w:rPr>
          <w:rFonts w:ascii="Palatino Linotype" w:hAnsi="Palatino Linotype"/>
          <w:sz w:val="24"/>
          <w:szCs w:val="24"/>
        </w:rPr>
      </w:pPr>
    </w:p>
    <w:p w:rsidR="00C760CB" w:rsidRPr="008363D2" w:rsidRDefault="00C760CB" w:rsidP="00C760CB">
      <w:pPr>
        <w:pStyle w:val="Prrafodelista"/>
        <w:spacing w:line="360" w:lineRule="auto"/>
        <w:ind w:left="0"/>
        <w:jc w:val="center"/>
        <w:rPr>
          <w:rFonts w:ascii="Palatino Linotype" w:eastAsia="Calibri" w:hAnsi="Palatino Linotype" w:cs="Arial"/>
          <w:b/>
          <w:sz w:val="24"/>
          <w:szCs w:val="24"/>
        </w:rPr>
      </w:pPr>
      <w:r w:rsidRPr="008363D2">
        <w:rPr>
          <w:rFonts w:ascii="Palatino Linotype" w:eastAsia="Calibri" w:hAnsi="Palatino Linotype" w:cs="Arial"/>
          <w:b/>
          <w:sz w:val="24"/>
          <w:szCs w:val="24"/>
        </w:rPr>
        <w:t>JOSÉ GUADALUPE LUNA HERNÁNDEZ</w:t>
      </w:r>
    </w:p>
    <w:p w:rsidR="00797A31" w:rsidRDefault="00C760CB" w:rsidP="00C760CB">
      <w:pPr>
        <w:pStyle w:val="Prrafodelista"/>
        <w:spacing w:line="360" w:lineRule="auto"/>
        <w:ind w:left="0"/>
        <w:jc w:val="center"/>
        <w:rPr>
          <w:rFonts w:ascii="Palatino Linotype" w:eastAsia="Calibri" w:hAnsi="Palatino Linotype" w:cs="Arial"/>
          <w:b/>
          <w:sz w:val="24"/>
          <w:szCs w:val="24"/>
        </w:rPr>
      </w:pPr>
      <w:r w:rsidRPr="008363D2">
        <w:rPr>
          <w:rFonts w:ascii="Palatino Linotype" w:eastAsia="Calibri" w:hAnsi="Palatino Linotype" w:cs="Arial"/>
          <w:b/>
          <w:sz w:val="24"/>
          <w:szCs w:val="24"/>
        </w:rPr>
        <w:t>COMISIONADO</w:t>
      </w:r>
    </w:p>
    <w:p w:rsidR="006B4BC2" w:rsidRDefault="006B4BC2" w:rsidP="00D621A5">
      <w:pPr>
        <w:pStyle w:val="Prrafodelista"/>
        <w:spacing w:line="360" w:lineRule="auto"/>
        <w:ind w:left="0"/>
        <w:jc w:val="center"/>
        <w:rPr>
          <w:rFonts w:ascii="Palatino Linotype" w:hAnsi="Palatino Linotype" w:cs="Arial"/>
          <w:b/>
          <w:sz w:val="24"/>
          <w:szCs w:val="24"/>
        </w:rPr>
      </w:pPr>
      <w:r w:rsidRPr="008363D2">
        <w:rPr>
          <w:rFonts w:ascii="Palatino Linotype" w:hAnsi="Palatino Linotype" w:cs="Arial"/>
          <w:b/>
          <w:sz w:val="24"/>
          <w:szCs w:val="24"/>
        </w:rPr>
        <w:t>(RÚBRICA)</w:t>
      </w:r>
    </w:p>
    <w:p w:rsidR="00D621A5" w:rsidRDefault="00D621A5" w:rsidP="00D621A5">
      <w:pPr>
        <w:pStyle w:val="Prrafodelista"/>
        <w:spacing w:line="360" w:lineRule="auto"/>
        <w:ind w:left="0"/>
        <w:jc w:val="center"/>
        <w:rPr>
          <w:rFonts w:ascii="Palatino Linotype" w:hAnsi="Palatino Linotype" w:cs="Arial"/>
          <w:b/>
          <w:sz w:val="24"/>
          <w:szCs w:val="24"/>
        </w:rPr>
      </w:pPr>
    </w:p>
    <w:p w:rsidR="00D621A5" w:rsidRDefault="00D621A5" w:rsidP="00D621A5">
      <w:pPr>
        <w:pStyle w:val="Prrafodelista"/>
        <w:spacing w:line="360" w:lineRule="auto"/>
        <w:ind w:left="0"/>
        <w:jc w:val="center"/>
        <w:rPr>
          <w:rFonts w:ascii="Palatino Linotype" w:hAnsi="Palatino Linotype" w:cs="Arial"/>
          <w:b/>
          <w:sz w:val="24"/>
          <w:szCs w:val="24"/>
        </w:rPr>
      </w:pPr>
      <w:bookmarkStart w:id="3" w:name="_GoBack"/>
      <w:bookmarkEnd w:id="3"/>
    </w:p>
    <w:p w:rsidR="00D621A5" w:rsidRDefault="00D621A5" w:rsidP="00D621A5">
      <w:pPr>
        <w:pStyle w:val="Prrafodelista"/>
        <w:spacing w:line="360" w:lineRule="auto"/>
        <w:ind w:left="0"/>
        <w:jc w:val="center"/>
        <w:rPr>
          <w:rFonts w:ascii="Palatino Linotype" w:hAnsi="Palatino Linotype" w:cs="Arial"/>
          <w:b/>
          <w:sz w:val="24"/>
          <w:szCs w:val="24"/>
        </w:rPr>
      </w:pPr>
    </w:p>
    <w:p w:rsidR="00D621A5" w:rsidRPr="00D621A5" w:rsidRDefault="00D621A5" w:rsidP="00D621A5">
      <w:pPr>
        <w:pStyle w:val="Prrafodelista"/>
        <w:spacing w:line="360" w:lineRule="auto"/>
        <w:ind w:left="0"/>
        <w:rPr>
          <w:rFonts w:ascii="Palatino Linotype" w:hAnsi="Palatino Linotype" w:cs="Arial"/>
          <w:sz w:val="20"/>
          <w:szCs w:val="20"/>
        </w:rPr>
      </w:pPr>
      <w:r w:rsidRPr="00D621A5">
        <w:rPr>
          <w:rFonts w:ascii="Palatino Linotype" w:hAnsi="Palatino Linotype" w:cs="Arial"/>
          <w:sz w:val="20"/>
          <w:szCs w:val="20"/>
        </w:rPr>
        <w:t>JGLH/MULR</w:t>
      </w:r>
    </w:p>
    <w:sectPr w:rsidR="00D621A5" w:rsidRPr="00D621A5"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06F" w:rsidRDefault="0065206F" w:rsidP="00E82D3D">
      <w:pPr>
        <w:spacing w:after="0" w:line="240" w:lineRule="auto"/>
      </w:pPr>
      <w:r>
        <w:separator/>
      </w:r>
    </w:p>
  </w:endnote>
  <w:endnote w:type="continuationSeparator" w:id="0">
    <w:p w:rsidR="0065206F" w:rsidRDefault="0065206F"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B488C" w:rsidRDefault="00BB488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224D9">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224D9">
              <w:rPr>
                <w:b/>
                <w:bCs/>
                <w:noProof/>
              </w:rPr>
              <w:t>10</w:t>
            </w:r>
            <w:r>
              <w:rPr>
                <w:b/>
                <w:bCs/>
                <w:sz w:val="24"/>
                <w:szCs w:val="24"/>
              </w:rPr>
              <w:fldChar w:fldCharType="end"/>
            </w:r>
          </w:p>
        </w:sdtContent>
      </w:sdt>
    </w:sdtContent>
  </w:sdt>
  <w:p w:rsidR="00BB488C" w:rsidRDefault="00BB488C"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06F" w:rsidRDefault="0065206F" w:rsidP="00E82D3D">
      <w:pPr>
        <w:spacing w:after="0" w:line="240" w:lineRule="auto"/>
      </w:pPr>
      <w:r>
        <w:separator/>
      </w:r>
    </w:p>
  </w:footnote>
  <w:footnote w:type="continuationSeparator" w:id="0">
    <w:p w:rsidR="0065206F" w:rsidRDefault="0065206F" w:rsidP="00E82D3D">
      <w:pPr>
        <w:spacing w:after="0" w:line="240" w:lineRule="auto"/>
      </w:pPr>
      <w:r>
        <w:continuationSeparator/>
      </w:r>
    </w:p>
  </w:footnote>
  <w:footnote w:id="1">
    <w:p w:rsidR="00C760CB" w:rsidRPr="00504631" w:rsidRDefault="00C760CB" w:rsidP="00C760CB">
      <w:pPr>
        <w:pStyle w:val="Textonotapie"/>
        <w:jc w:val="both"/>
        <w:rPr>
          <w:rFonts w:ascii="Palatino Linotype" w:hAnsi="Palatino Linotype" w:cs="Arial"/>
        </w:rPr>
      </w:pPr>
      <w:r w:rsidRPr="00504631">
        <w:rPr>
          <w:rStyle w:val="Refdenotaalpie"/>
          <w:rFonts w:ascii="Palatino Linotype" w:hAnsi="Palatino Linotype" w:cs="Arial"/>
        </w:rPr>
        <w:footnoteRef/>
      </w:r>
      <w:r w:rsidRPr="00504631">
        <w:rPr>
          <w:rFonts w:ascii="Palatino Linotype" w:hAnsi="Palatino Linotype" w:cs="Arial"/>
        </w:rPr>
        <w:t xml:space="preserve"> BREWER CARÍAS, ALLAN B. </w:t>
      </w:r>
      <w:r w:rsidRPr="00504631">
        <w:rPr>
          <w:rFonts w:ascii="Palatino Linotype" w:hAnsi="Palatino Linotype" w:cs="Arial"/>
          <w:i/>
        </w:rPr>
        <w:t>La justicia constitucional (Procesos y procedimientos constitucionales).</w:t>
      </w:r>
      <w:r w:rsidRPr="00504631">
        <w:rPr>
          <w:rFonts w:ascii="Palatino Linotype" w:hAnsi="Palatino Linotype" w:cs="Arial"/>
        </w:rPr>
        <w:t xml:space="preserve"> México, </w:t>
      </w:r>
      <w:proofErr w:type="spellStart"/>
      <w:r w:rsidRPr="00504631">
        <w:rPr>
          <w:rFonts w:ascii="Palatino Linotype" w:hAnsi="Palatino Linotype" w:cs="Arial"/>
        </w:rPr>
        <w:t>Coed</w:t>
      </w:r>
      <w:proofErr w:type="spellEnd"/>
      <w:r w:rsidRPr="00504631">
        <w:rPr>
          <w:rFonts w:ascii="Palatino Linotype" w:hAnsi="Palatino Linotype" w:cs="Arial"/>
        </w:rPr>
        <w:t>. Porrúa e Instituto Mexicano de Derecho Procesal Constitucional. 2007. Pág. 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65206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65206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BB488C" w:rsidRDefault="00BB488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65206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19B2"/>
    <w:multiLevelType w:val="hybridMultilevel"/>
    <w:tmpl w:val="CCFECDB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85F247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8536C8"/>
    <w:multiLevelType w:val="hybridMultilevel"/>
    <w:tmpl w:val="90EEA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A52428"/>
    <w:multiLevelType w:val="hybridMultilevel"/>
    <w:tmpl w:val="59DEF00E"/>
    <w:lvl w:ilvl="0" w:tplc="FF6437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FB19E2"/>
    <w:multiLevelType w:val="hybridMultilevel"/>
    <w:tmpl w:val="768A0B0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7202FA"/>
    <w:multiLevelType w:val="hybridMultilevel"/>
    <w:tmpl w:val="C7FA7CD6"/>
    <w:lvl w:ilvl="0" w:tplc="0A908E20">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9F85A4B"/>
    <w:multiLevelType w:val="hybridMultilevel"/>
    <w:tmpl w:val="291C845E"/>
    <w:lvl w:ilvl="0" w:tplc="80CCAA0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E934E6"/>
    <w:multiLevelType w:val="hybridMultilevel"/>
    <w:tmpl w:val="10FE3B0A"/>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3"/>
  </w:num>
  <w:num w:numId="2">
    <w:abstractNumId w:val="7"/>
  </w:num>
  <w:num w:numId="3">
    <w:abstractNumId w:val="8"/>
  </w:num>
  <w:num w:numId="4">
    <w:abstractNumId w:val="12"/>
  </w:num>
  <w:num w:numId="5">
    <w:abstractNumId w:val="11"/>
  </w:num>
  <w:num w:numId="6">
    <w:abstractNumId w:val="2"/>
  </w:num>
  <w:num w:numId="7">
    <w:abstractNumId w:val="15"/>
  </w:num>
  <w:num w:numId="8">
    <w:abstractNumId w:val="9"/>
  </w:num>
  <w:num w:numId="9">
    <w:abstractNumId w:val="14"/>
  </w:num>
  <w:num w:numId="10">
    <w:abstractNumId w:val="6"/>
  </w:num>
  <w:num w:numId="11">
    <w:abstractNumId w:val="13"/>
  </w:num>
  <w:num w:numId="12">
    <w:abstractNumId w:val="4"/>
  </w:num>
  <w:num w:numId="13">
    <w:abstractNumId w:val="10"/>
  </w:num>
  <w:num w:numId="14">
    <w:abstractNumId w:val="5"/>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96CC2"/>
    <w:rsid w:val="00102360"/>
    <w:rsid w:val="001240A5"/>
    <w:rsid w:val="001B19B4"/>
    <w:rsid w:val="001D2615"/>
    <w:rsid w:val="001F7C80"/>
    <w:rsid w:val="00202856"/>
    <w:rsid w:val="00214DD9"/>
    <w:rsid w:val="002E3ED2"/>
    <w:rsid w:val="002F79FF"/>
    <w:rsid w:val="003258B6"/>
    <w:rsid w:val="003841A6"/>
    <w:rsid w:val="00384DBA"/>
    <w:rsid w:val="0048628E"/>
    <w:rsid w:val="004C1454"/>
    <w:rsid w:val="005556CA"/>
    <w:rsid w:val="005F30BC"/>
    <w:rsid w:val="00617ACF"/>
    <w:rsid w:val="00624E22"/>
    <w:rsid w:val="0065206F"/>
    <w:rsid w:val="00673362"/>
    <w:rsid w:val="006B4BC2"/>
    <w:rsid w:val="006F0A01"/>
    <w:rsid w:val="006F225F"/>
    <w:rsid w:val="00752E9D"/>
    <w:rsid w:val="00797A31"/>
    <w:rsid w:val="007D037D"/>
    <w:rsid w:val="00807E40"/>
    <w:rsid w:val="008224D9"/>
    <w:rsid w:val="008A23B4"/>
    <w:rsid w:val="008B00F9"/>
    <w:rsid w:val="009A2D39"/>
    <w:rsid w:val="009D69F9"/>
    <w:rsid w:val="009F7F63"/>
    <w:rsid w:val="00A546FD"/>
    <w:rsid w:val="00A727D5"/>
    <w:rsid w:val="00A7748C"/>
    <w:rsid w:val="00B9285A"/>
    <w:rsid w:val="00BB488C"/>
    <w:rsid w:val="00C753D8"/>
    <w:rsid w:val="00C760CB"/>
    <w:rsid w:val="00CA2B8E"/>
    <w:rsid w:val="00CC7CC1"/>
    <w:rsid w:val="00CD46C3"/>
    <w:rsid w:val="00CF0462"/>
    <w:rsid w:val="00D621A5"/>
    <w:rsid w:val="00DB2094"/>
    <w:rsid w:val="00DD14BB"/>
    <w:rsid w:val="00DE7A32"/>
    <w:rsid w:val="00E2527F"/>
    <w:rsid w:val="00E82D3D"/>
    <w:rsid w:val="00EB179C"/>
    <w:rsid w:val="00EE3139"/>
    <w:rsid w:val="00F30EE8"/>
    <w:rsid w:val="00F61855"/>
    <w:rsid w:val="00FA4BCC"/>
    <w:rsid w:val="00FB127E"/>
    <w:rsid w:val="00FC605B"/>
    <w:rsid w:val="00FE32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0CB"/>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reference,FA Fu,Footnote Text Char Char Char Char Char,Footnote Text Char Char Char Char,Footnote Text Char Char Char"/>
    <w:basedOn w:val="Normal"/>
    <w:link w:val="TextonotapieCar"/>
    <w:unhideWhenUsed/>
    <w:rsid w:val="00E82D3D"/>
    <w:pPr>
      <w:spacing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
    <w:basedOn w:val="Fuentedeprrafopredeter"/>
    <w:link w:val="Textonotapie"/>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34"/>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DE7A32"/>
    <w:pPr>
      <w:spacing w:after="100"/>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479838">
      <w:bodyDiv w:val="1"/>
      <w:marLeft w:val="0"/>
      <w:marRight w:val="0"/>
      <w:marTop w:val="0"/>
      <w:marBottom w:val="0"/>
      <w:divBdr>
        <w:top w:val="none" w:sz="0" w:space="0" w:color="auto"/>
        <w:left w:val="none" w:sz="0" w:space="0" w:color="auto"/>
        <w:bottom w:val="none" w:sz="0" w:space="0" w:color="auto"/>
        <w:right w:val="none" w:sz="0" w:space="0" w:color="auto"/>
      </w:divBdr>
      <w:divsChild>
        <w:div w:id="175655020">
          <w:marLeft w:val="0"/>
          <w:marRight w:val="0"/>
          <w:marTop w:val="0"/>
          <w:marBottom w:val="101"/>
          <w:divBdr>
            <w:top w:val="none" w:sz="0" w:space="0" w:color="auto"/>
            <w:left w:val="none" w:sz="0" w:space="0" w:color="auto"/>
            <w:bottom w:val="none" w:sz="0" w:space="0" w:color="auto"/>
            <w:right w:val="none" w:sz="0" w:space="0" w:color="auto"/>
          </w:divBdr>
        </w:div>
        <w:div w:id="2055958382">
          <w:marLeft w:val="864"/>
          <w:marRight w:val="0"/>
          <w:marTop w:val="0"/>
          <w:marBottom w:val="101"/>
          <w:divBdr>
            <w:top w:val="none" w:sz="0" w:space="0" w:color="auto"/>
            <w:left w:val="none" w:sz="0" w:space="0" w:color="auto"/>
            <w:bottom w:val="none" w:sz="0" w:space="0" w:color="auto"/>
            <w:right w:val="none" w:sz="0" w:space="0" w:color="auto"/>
          </w:divBdr>
        </w:div>
        <w:div w:id="61879594">
          <w:marLeft w:val="864"/>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6ECB0-532D-47E9-9310-0A2FA0FA9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1781</Words>
  <Characters>9801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2017-01-31T20:53:00Z</cp:lastPrinted>
  <dcterms:created xsi:type="dcterms:W3CDTF">2018-11-06T19:07:00Z</dcterms:created>
  <dcterms:modified xsi:type="dcterms:W3CDTF">2018-11-06T21:36:00Z</dcterms:modified>
</cp:coreProperties>
</file>